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xml" ContentType="application/xml"/>
  <Default Extension="png" ContentType="image/png"/>
  <Default Extension="wmf" ContentType="image/x-wmf"/>
  <Override PartName="/customXml/itemProps1.xml" ContentType="application/vnd.openxmlformats-officedocument.customXmlPropertie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docProps/app.xml" ContentType="application/vnd.openxmlformats-officedocument.extended-properties+xml"/>
  <Override PartName="/docProps/core.xml" ContentType="application/vnd.openxmlformats-package.core-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4824CD3F" w14:textId="77777777">
      <w:pPr>
        <w:widowControl w:val="false"/>
        <w:pBdr/>
        <w:spacing w:line="276" w:lineRule="auto"/>
        <w:ind/>
        <w:rPr>
          <w:rFonts w:ascii="Arial" w:hAnsi="Arial" w:eastAsia="Arial" w:cs="Arial"/>
          <w:color w:val="000000"/>
          <w:sz w:val="22"/>
          <w:szCs w:val="22"/>
        </w:rPr>
      </w:pPr>
      <w:r>
        <w:rPr>
          <w:rFonts w:ascii="Arial" w:hAnsi="Arial" w:eastAsia="Arial" w:cs="Arial"/>
          <w:color w:val="000000"/>
          <w:sz w:val="22"/>
          <w:szCs w:val="22"/>
        </w:rPr>
      </w:r>
      <w:r>
        <w:rPr>
          <w:rFonts w:ascii="Arial" w:hAnsi="Arial" w:eastAsia="Arial" w:cs="Arial"/>
          <w:color w:val="000000"/>
          <w:sz w:val="22"/>
          <w:szCs w:val="22"/>
        </w:rPr>
      </w:r>
    </w:p>
    <w:tbl>
      <w:tblPr>
        <w:tblW w:w="10409" w:type="dxa"/>
        <w:tblBorders/>
        <w:tblLayout w:type="fixed"/>
        <w:tblLook w:val="0400" w:firstRow="0" w:lastRow="0" w:firstColumn="0" w:lastColumn="0" w:noHBand="0" w:noVBand="1"/>
      </w:tblPr>
      <w:tblGrid>
        <w:gridCol w:w="10173"/>
        <w:gridCol w:w="236"/>
      </w:tblGrid>
      <w:tr>
        <w:trPr>
          <w:gridAfter w:val="1"/>
        </w:trPr>
        <w:tc>
          <w:tcPr>
            <w:tcBorders>
              <w:top w:val="single" w:color="000000" w:sz="4" w:space="0"/>
              <w:left w:val="single" w:color="000000" w:sz="4" w:space="0"/>
              <w:bottom w:val="single" w:color="000000" w:sz="4" w:space="0"/>
              <w:right w:val="single" w:color="000000" w:sz="4" w:space="0"/>
            </w:tcBorders>
            <w:tcW w:w="10173" w:type="dxa"/>
            <w:textDirection w:val="lrTb"/>
            <w:noWrap w:val="false"/>
          </w:tcPr>
          <w:p w14:paraId="46E2CA9E" w14:textId="77777777">
            <w:pPr>
              <w:widowControl w:val="false"/>
              <w:pBdr/>
              <w:spacing/>
              <w:ind/>
              <w:jc w:val="center"/>
              <w:rPr>
                <w:rFonts w:ascii="Arial" w:hAnsi="Arial" w:eastAsia="Arial" w:cs="Arial"/>
                <w:b/>
                <w:sz w:val="24"/>
                <w:szCs w:val="24"/>
              </w:rPr>
            </w:pPr>
            <w:r>
              <w:rPr>
                <w:rFonts w:ascii="Arial" w:hAnsi="Arial" w:eastAsia="Arial" w:cs="Arial"/>
                <w:b/>
                <w:sz w:val="24"/>
                <w:szCs w:val="24"/>
              </w:rPr>
            </w:r>
            <w:r>
              <w:rPr>
                <w:rFonts w:ascii="Arial" w:hAnsi="Arial" w:eastAsia="Arial" w:cs="Arial"/>
                <w:b/>
                <w:sz w:val="24"/>
                <w:szCs w:val="24"/>
              </w:rPr>
            </w:r>
          </w:p>
          <w:p w14:paraId="0583FC59" w14:textId="77777777">
            <w:pPr>
              <w:widowControl w:val="false"/>
              <w:pBdr/>
              <w:spacing/>
              <w:ind/>
              <w:jc w:val="center"/>
              <w:rPr>
                <w:rFonts w:ascii="Arial" w:hAnsi="Arial" w:eastAsia="Arial" w:cs="Arial"/>
                <w:b/>
                <w:sz w:val="24"/>
                <w:szCs w:val="24"/>
              </w:rPr>
            </w:pPr>
            <w:r>
              <w:rPr>
                <w:rFonts w:ascii="Arial" w:hAnsi="Arial" w:eastAsia="Arial" w:cs="Arial"/>
                <w:b/>
                <w:sz w:val="24"/>
                <w:szCs w:val="24"/>
              </w:rPr>
              <w:t xml:space="preserve">PREGÃO ELETRÔNICO N.º 10/2026</w:t>
            </w:r>
            <w:r>
              <w:rPr>
                <w:rFonts w:ascii="Arial" w:hAnsi="Arial" w:eastAsia="Arial" w:cs="Arial"/>
                <w:b/>
                <w:sz w:val="24"/>
                <w:szCs w:val="24"/>
              </w:rPr>
            </w:r>
          </w:p>
          <w:p w14:paraId="337499DB" w14:textId="77777777">
            <w:pPr>
              <w:widowControl w:val="false"/>
              <w:pBdr/>
              <w:spacing/>
              <w:ind/>
              <w:jc w:val="center"/>
              <w:rPr>
                <w:rFonts w:ascii="Arial" w:hAnsi="Arial" w:eastAsia="Arial" w:cs="Arial"/>
                <w:b/>
                <w:sz w:val="24"/>
                <w:szCs w:val="24"/>
                <w:highlight w:val="white"/>
              </w:rPr>
            </w:pPr>
            <w:r>
              <w:rPr>
                <w:rFonts w:ascii="Arial" w:hAnsi="Arial" w:eastAsia="Arial" w:cs="Arial"/>
                <w:b/>
                <w:sz w:val="24"/>
                <w:szCs w:val="24"/>
                <w:highlight w:val="white"/>
              </w:rPr>
              <w:t xml:space="preserve">Processo n.º 68/2026</w:t>
            </w:r>
            <w:r>
              <w:rPr>
                <w:rFonts w:ascii="Arial" w:hAnsi="Arial" w:eastAsia="Arial" w:cs="Arial"/>
                <w:b/>
                <w:sz w:val="24"/>
                <w:szCs w:val="24"/>
                <w:highlight w:val="white"/>
              </w:rPr>
            </w:r>
          </w:p>
          <w:p w14:paraId="1B3F30E4" w14:textId="77777777">
            <w:pPr>
              <w:widowControl w:val="false"/>
              <w:pBdr/>
              <w:spacing/>
              <w:ind/>
              <w:jc w:val="center"/>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tc>
      </w:tr>
      <w:tr>
        <w:trPr/>
        <w:tc>
          <w:tcPr>
            <w:tcBorders>
              <w:top w:val="single" w:color="000000" w:sz="4" w:space="0"/>
              <w:left w:val="single" w:color="000000" w:sz="4" w:space="0"/>
              <w:bottom w:val="single" w:color="000000" w:sz="4" w:space="0"/>
              <w:right w:val="single" w:color="000000" w:sz="4" w:space="0"/>
            </w:tcBorders>
            <w:tcW w:w="10173" w:type="dxa"/>
            <w:textDirection w:val="lrTb"/>
            <w:noWrap w:val="false"/>
          </w:tcPr>
          <w:p w14:paraId="4C33CB98" w14:textId="77777777">
            <w:pPr>
              <w:widowControl w:val="false"/>
              <w:pBdr/>
              <w:spacing/>
              <w:ind/>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tbl>
            <w:tblPr>
              <w:tblW w:w="10055" w:type="dxa"/>
              <w:tblBorders/>
              <w:tblLayout w:type="fixed"/>
              <w:tblLook w:val="0400" w:firstRow="0" w:lastRow="0" w:firstColumn="0" w:lastColumn="0" w:noHBand="0" w:noVBand="1"/>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textDirection w:val="lrTb"/>
                  <w:noWrap w:val="false"/>
                </w:tcPr>
                <w:p w14:paraId="7A16539E" w14:textId="77777777">
                  <w:pPr>
                    <w:widowControl w:val="false"/>
                    <w:pBdr/>
                    <w:spacing/>
                    <w:ind/>
                    <w:jc w:val="both"/>
                    <w:rPr>
                      <w:rFonts w:ascii="Arial" w:hAnsi="Arial" w:eastAsia="Arial" w:cs="Arial"/>
                      <w:sz w:val="22"/>
                      <w:szCs w:val="22"/>
                    </w:rPr>
                  </w:pPr>
                  <w:r>
                    <w:rPr>
                      <w:rFonts w:ascii="Arial" w:hAnsi="Arial" w:eastAsia="Arial" w:cs="Arial"/>
                      <w:sz w:val="22"/>
                      <w:szCs w:val="22"/>
                    </w:rPr>
                  </w:r>
                  <w:r>
                    <w:rPr>
                      <w:rFonts w:ascii="Arial" w:hAnsi="Arial" w:eastAsia="Arial" w:cs="Arial"/>
                      <w:sz w:val="22"/>
                      <w:szCs w:val="22"/>
                    </w:rPr>
                  </w:r>
                </w:p>
                <w:p w14:paraId="4592C697" w14:textId="77777777">
                  <w:pPr>
                    <w:widowControl w:val="false"/>
                    <w:pBdr/>
                    <w:spacing/>
                    <w:ind/>
                    <w:jc w:val="both"/>
                    <w:rPr>
                      <w:rFonts w:ascii="Arial" w:hAnsi="Arial" w:eastAsia="Arial" w:cs="Arial"/>
                      <w:i/>
                      <w:sz w:val="18"/>
                      <w:szCs w:val="18"/>
                    </w:rPr>
                  </w:pPr>
                  <w:r>
                    <w:rPr>
                      <w:rFonts w:ascii="Arial" w:hAnsi="Arial" w:eastAsia="Arial" w:cs="Arial"/>
                      <w:color w:val="000000"/>
                      <w:sz w:val="18"/>
                      <w:szCs w:val="18"/>
                    </w:rPr>
                    <w:t xml:space="preserve">O Presente </w:t>
                  </w:r>
                  <w:r>
                    <w:rPr>
                      <w:rFonts w:ascii="Arial" w:hAnsi="Arial" w:eastAsia="Arial" w:cs="Arial"/>
                      <w:b/>
                      <w:color w:val="000000"/>
                      <w:sz w:val="18"/>
                      <w:szCs w:val="18"/>
                    </w:rPr>
                    <w:t xml:space="preserve">Pregão Eletrônico</w:t>
                  </w:r>
                  <w:r>
                    <w:rPr>
                      <w:rFonts w:ascii="Arial" w:hAnsi="Arial" w:eastAsia="Arial" w:cs="Arial"/>
                      <w:color w:val="000000"/>
                      <w:sz w:val="18"/>
                      <w:szCs w:val="18"/>
                    </w:rPr>
                    <w:t xml:space="preserve"> tem por objeto </w:t>
                  </w:r>
                  <w:r>
                    <w:rPr>
                      <w:rFonts w:ascii="Arial" w:hAnsi="Arial" w:eastAsia="Arial" w:cs="Arial"/>
                      <w:b/>
                      <w:bCs/>
                      <w:i/>
                      <w:iCs/>
                      <w:color w:val="000000"/>
                      <w:sz w:val="18"/>
                      <w:szCs w:val="18"/>
                    </w:rPr>
                    <w:t xml:space="preserve">REGIST</w:t>
                  </w:r>
                  <w:r>
                    <w:rPr>
                      <w:rFonts w:ascii="Arial" w:hAnsi="Arial" w:eastAsia="Arial" w:cs="Arial"/>
                      <w:b/>
                      <w:bCs/>
                      <w:i/>
                      <w:iCs/>
                      <w:color w:val="000000"/>
                      <w:sz w:val="18"/>
                      <w:szCs w:val="18"/>
                    </w:rPr>
                    <w:t xml:space="preserve">RO DE PREÇOS PARA FUTURA E EVENTUAL CONTRATAÇÃO DE SERVIÇOS FUNERÁRIOS DE TRANSLADO E TANATOPRAXIA, DESTINADOS AO ATENDIMENTO DAS NECESSIDA-DES DE FAMÍLIAS EM SITUAÇÃO DE VUL-NERABILIDADE SOCIOECONÔMICA, ASSISTIDAS PELA SECRETARIA MUNICIPAL DE PROMOÇÃO E A</w:t>
                  </w:r>
                  <w:r>
                    <w:rPr>
                      <w:rFonts w:ascii="Arial" w:hAnsi="Arial" w:eastAsia="Arial" w:cs="Arial"/>
                      <w:b/>
                      <w:bCs/>
                      <w:i/>
                      <w:iCs/>
                      <w:color w:val="000000"/>
                      <w:sz w:val="18"/>
                      <w:szCs w:val="18"/>
                    </w:rPr>
                    <w:t xml:space="preserve">SSISTÊNCIA SOCIAL – SEMPRAS. A CONTRATAÇÃO BUSCA ASSEGURAR A PRESTAÇÃO TEMPESTIVA, CONTÍNUA E ADE-QUADA DOS SERVIÇOS, GARANTINDO DIGNIDADE NO ATENDIMENTO ÀS SITUAÇÕES DE ÓBITO, CONFORME ES-PECIFICAÇÕES E QUANTITATIVOS ESTABELECIDOS NO EDITAL E SEUS ANEXOS.</w:t>
                  </w:r>
                  <w:r>
                    <w:rPr>
                      <w:rFonts w:ascii="Arial" w:hAnsi="Arial" w:eastAsia="Arial" w:cs="Arial"/>
                      <w:i/>
                      <w:sz w:val="18"/>
                      <w:szCs w:val="18"/>
                    </w:rPr>
                  </w:r>
                </w:p>
                <w:p w14:paraId="2AD961CD" w14:textId="77777777">
                  <w:pPr>
                    <w:widowControl w:val="false"/>
                    <w:pBdr/>
                    <w:spacing/>
                    <w:ind/>
                    <w:jc w:val="both"/>
                    <w:rPr>
                      <w:rFonts w:ascii="Arial" w:hAnsi="Arial" w:eastAsia="Arial" w:cs="Arial"/>
                      <w:sz w:val="22"/>
                      <w:szCs w:val="22"/>
                    </w:rPr>
                  </w:pPr>
                  <w:r>
                    <w:rPr>
                      <w:rFonts w:ascii="Arial" w:hAnsi="Arial" w:eastAsia="Arial" w:cs="Arial"/>
                      <w:sz w:val="22"/>
                      <w:szCs w:val="22"/>
                    </w:rPr>
                  </w:r>
                  <w:r>
                    <w:rPr>
                      <w:rFonts w:ascii="Arial" w:hAnsi="Arial" w:eastAsia="Arial" w:cs="Arial"/>
                      <w:sz w:val="22"/>
                      <w:szCs w:val="22"/>
                    </w:rPr>
                  </w:r>
                </w:p>
              </w:tc>
            </w:tr>
          </w:tbl>
          <w:p w14:paraId="72531CB0" w14:textId="77777777">
            <w:pPr>
              <w:widowControl w:val="false"/>
              <w:pBdr/>
              <w:spacing/>
              <w:ind/>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tbl>
            <w:tblPr>
              <w:tblW w:w="10055" w:type="dxa"/>
              <w:tblBorders/>
              <w:tblLayout w:type="fixed"/>
              <w:tblLook w:val="0400" w:firstRow="0" w:lastRow="0" w:firstColumn="0" w:lastColumn="0" w:noHBand="0" w:noVBand="1"/>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textDirection w:val="lrTb"/>
                  <w:noWrap w:val="false"/>
                </w:tcPr>
                <w:p w14:paraId="7980847E" w14:textId="77777777">
                  <w:pPr>
                    <w:widowControl w:val="false"/>
                    <w:pBdr/>
                    <w:spacing/>
                    <w:ind/>
                    <w:jc w:val="center"/>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p w14:paraId="5267E004" w14:textId="77777777">
                  <w:pPr>
                    <w:widowControl w:val="false"/>
                    <w:pBdr/>
                    <w:spacing/>
                    <w:ind/>
                    <w:jc w:val="center"/>
                    <w:rPr>
                      <w:rFonts w:ascii="Arial" w:hAnsi="Arial" w:eastAsia="Arial" w:cs="Arial"/>
                      <w:sz w:val="24"/>
                      <w:szCs w:val="24"/>
                    </w:rPr>
                  </w:pPr>
                  <w:r>
                    <w:rPr>
                      <w:rFonts w:ascii="Arial" w:hAnsi="Arial" w:eastAsia="Arial" w:cs="Arial"/>
                      <w:sz w:val="24"/>
                      <w:szCs w:val="24"/>
                    </w:rPr>
                    <w:t xml:space="preserve">SESSÃO PÚBLICA PARA RECEBIMENTO DAS PROPOSTAS E DOCUMENTOS PARA HABILITAÇÃO</w:t>
                  </w:r>
                  <w:r>
                    <w:rPr>
                      <w:rFonts w:ascii="Arial" w:hAnsi="Arial" w:eastAsia="Arial" w:cs="Arial"/>
                      <w:sz w:val="24"/>
                      <w:szCs w:val="24"/>
                    </w:rPr>
                  </w:r>
                </w:p>
                <w:p w14:paraId="7609D83C" w14:textId="77777777">
                  <w:pPr>
                    <w:widowControl w:val="false"/>
                    <w:pBdr/>
                    <w:spacing/>
                    <w:ind/>
                    <w:jc w:val="center"/>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tc>
            </w:tr>
          </w:tbl>
          <w:p w14:paraId="4EA61E8B" w14:textId="77777777">
            <w:pPr>
              <w:widowControl w:val="false"/>
              <w:pBdr/>
              <w:spacing/>
              <w:ind/>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tbl>
            <w:tblPr>
              <w:tblW w:w="10055" w:type="dxa"/>
              <w:tblBorders/>
              <w:tblLayout w:type="fixed"/>
              <w:tblLook w:val="0400" w:firstRow="0" w:lastRow="0" w:firstColumn="0" w:lastColumn="0" w:noHBand="0" w:noVBand="1"/>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textDirection w:val="lrTb"/>
                  <w:noWrap w:val="false"/>
                </w:tcPr>
                <w:p w14:paraId="55EEA185" w14:textId="77777777">
                  <w:pPr>
                    <w:widowControl w:val="false"/>
                    <w:pBdr/>
                    <w:spacing/>
                    <w:ind/>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p w14:paraId="3EB76227" w14:textId="77777777">
                  <w:pPr>
                    <w:widowControl w:val="false"/>
                    <w:pBdr/>
                    <w:spacing/>
                    <w:ind/>
                    <w:jc w:val="both"/>
                    <w:rPr>
                      <w:rFonts w:ascii="Arial" w:hAnsi="Arial" w:eastAsia="Arial" w:cs="Arial"/>
                      <w:b/>
                      <w:sz w:val="24"/>
                      <w:szCs w:val="24"/>
                    </w:rPr>
                  </w:pPr>
                  <w:r>
                    <w:rPr>
                      <w:rFonts w:ascii="Arial" w:hAnsi="Arial" w:eastAsia="Arial" w:cs="Arial"/>
                      <w:sz w:val="24"/>
                      <w:szCs w:val="24"/>
                    </w:rPr>
                    <w:t xml:space="preserve">Local: </w:t>
                  </w:r>
                  <w:hyperlink r:id="rId12" w:tooltip="http://www.bllcompras.org.br/" w:history="1">
                    <w:r>
                      <w:rPr>
                        <w:rFonts w:ascii="Arial" w:hAnsi="Arial" w:eastAsia="Arial" w:cs="Arial"/>
                        <w:b/>
                        <w:color w:val="0000ff"/>
                        <w:sz w:val="24"/>
                        <w:szCs w:val="24"/>
                        <w:u w:val="single"/>
                      </w:rPr>
                      <w:t xml:space="preserve">bllcompras.com</w:t>
                    </w:r>
                  </w:hyperlink>
                  <w:r/>
                  <w:r>
                    <w:rPr>
                      <w:rFonts w:ascii="Arial" w:hAnsi="Arial" w:eastAsia="Arial" w:cs="Arial"/>
                      <w:b/>
                      <w:sz w:val="24"/>
                      <w:szCs w:val="24"/>
                    </w:rPr>
                  </w:r>
                </w:p>
                <w:p w14:paraId="1C3D4F28" w14:textId="77777777">
                  <w:pPr>
                    <w:widowControl w:val="false"/>
                    <w:pBdr/>
                    <w:spacing/>
                    <w:ind/>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tc>
            </w:tr>
          </w:tbl>
          <w:p w14:paraId="1A1E13DB" w14:textId="77777777">
            <w:pPr>
              <w:widowControl w:val="false"/>
              <w:pBdr/>
              <w:spacing/>
              <w:ind/>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tbl>
            <w:tblPr>
              <w:tblW w:w="10055" w:type="dxa"/>
              <w:tblBorders/>
              <w:tblLayout w:type="fixed"/>
              <w:tblLook w:val="0400" w:firstRow="0" w:lastRow="0" w:firstColumn="0" w:lastColumn="0" w:noHBand="0" w:noVBand="1"/>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textDirection w:val="lrTb"/>
                  <w:noWrap w:val="false"/>
                </w:tcPr>
                <w:p w14:paraId="0EEC703C" w14:textId="77777777">
                  <w:pPr>
                    <w:widowControl w:val="false"/>
                    <w:pBdr/>
                    <w:spacing/>
                    <w:ind/>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p w14:paraId="1F9A5FB4" w14:textId="77777777">
                  <w:pPr>
                    <w:widowControl w:val="false"/>
                    <w:pBdr/>
                    <w:spacing/>
                    <w:ind/>
                    <w:jc w:val="both"/>
                    <w:rPr>
                      <w:rFonts w:ascii="Arial" w:hAnsi="Arial" w:eastAsia="Arial" w:cs="Arial"/>
                      <w:b/>
                      <w:color w:val="000000"/>
                      <w:sz w:val="24"/>
                      <w:szCs w:val="24"/>
                    </w:rPr>
                  </w:pPr>
                  <w:r>
                    <w:rPr>
                      <w:rFonts w:ascii="Arial" w:hAnsi="Arial" w:eastAsia="Arial" w:cs="Arial"/>
                      <w:sz w:val="24"/>
                      <w:szCs w:val="24"/>
                    </w:rPr>
                    <w:t xml:space="preserve">Data da sessão:</w:t>
                  </w:r>
                  <w:r>
                    <w:rPr>
                      <w:rFonts w:ascii="Arial" w:hAnsi="Arial" w:eastAsia="Arial" w:cs="Arial"/>
                      <w:sz w:val="24"/>
                      <w:szCs w:val="24"/>
                      <w:highlight w:val="white"/>
                    </w:rPr>
                    <w:t xml:space="preserve"> </w:t>
                  </w:r>
                  <w:r>
                    <w:rPr>
                      <w:rFonts w:ascii="Arial" w:hAnsi="Arial" w:eastAsia="Arial" w:cs="Arial"/>
                      <w:b/>
                      <w:color w:val="000000"/>
                      <w:sz w:val="24"/>
                      <w:szCs w:val="24"/>
                      <w:highlight w:val="white"/>
                    </w:rPr>
                    <w:t xml:space="preserve">22</w:t>
                  </w:r>
                  <w:r>
                    <w:rPr>
                      <w:rFonts w:ascii="Arial" w:hAnsi="Arial" w:eastAsia="Arial" w:cs="Arial"/>
                      <w:b/>
                      <w:color w:val="000000"/>
                      <w:sz w:val="24"/>
                      <w:szCs w:val="24"/>
                      <w:highlight w:val="white"/>
                    </w:rPr>
                    <w:t xml:space="preserve">/04/2026</w:t>
                  </w:r>
                  <w:r>
                    <w:rPr>
                      <w:rFonts w:ascii="Arial" w:hAnsi="Arial" w:eastAsia="Arial" w:cs="Arial"/>
                      <w:b/>
                      <w:color w:val="000000"/>
                      <w:sz w:val="24"/>
                      <w:szCs w:val="24"/>
                    </w:rPr>
                  </w:r>
                </w:p>
                <w:p w14:paraId="00562ED2" w14:textId="77777777">
                  <w:pPr>
                    <w:widowControl w:val="false"/>
                    <w:pBdr/>
                    <w:spacing/>
                    <w:ind/>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tc>
            </w:tr>
          </w:tbl>
          <w:p w14:paraId="3F9F3DB6" w14:textId="77777777">
            <w:pPr>
              <w:widowControl w:val="false"/>
              <w:pBdr/>
              <w:spacing/>
              <w:ind/>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p w14:paraId="5B0F4678" w14:textId="77777777">
            <w:pPr>
              <w:widowControl w:val="false"/>
              <w:pBdr/>
              <w:spacing/>
              <w:ind/>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tbl>
            <w:tblPr>
              <w:tblW w:w="10055" w:type="dxa"/>
              <w:tblBorders/>
              <w:tblLayout w:type="fixed"/>
              <w:tblLook w:val="0400" w:firstRow="0" w:lastRow="0" w:firstColumn="0" w:lastColumn="0" w:noHBand="0" w:noVBand="1"/>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textDirection w:val="lrTb"/>
                  <w:noWrap w:val="false"/>
                </w:tcPr>
                <w:p w14:paraId="740F4AFF" w14:textId="77777777">
                  <w:pPr>
                    <w:widowControl w:val="false"/>
                    <w:pBdr/>
                    <w:spacing/>
                    <w:ind/>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p w14:paraId="09BD1DF0" w14:textId="77777777">
                  <w:pPr>
                    <w:widowControl w:val="false"/>
                    <w:pBdr/>
                    <w:tabs>
                      <w:tab w:val="left" w:leader="none" w:pos="6435"/>
                    </w:tabs>
                    <w:spacing/>
                    <w:ind/>
                    <w:jc w:val="both"/>
                    <w:rPr>
                      <w:rFonts w:ascii="Arial" w:hAnsi="Arial" w:eastAsia="Arial" w:cs="Arial"/>
                      <w:b/>
                      <w:color w:val="000000"/>
                      <w:sz w:val="24"/>
                      <w:szCs w:val="24"/>
                    </w:rPr>
                  </w:pPr>
                  <w:r>
                    <w:rPr>
                      <w:rFonts w:ascii="Arial" w:hAnsi="Arial" w:eastAsia="Arial" w:cs="Arial"/>
                      <w:sz w:val="24"/>
                      <w:szCs w:val="24"/>
                    </w:rPr>
                    <w:t xml:space="preserve">Horário: </w:t>
                  </w:r>
                  <w:r>
                    <w:rPr>
                      <w:rFonts w:ascii="Arial" w:hAnsi="Arial" w:eastAsia="Arial" w:cs="Arial"/>
                      <w:b/>
                      <w:color w:val="000000"/>
                      <w:sz w:val="24"/>
                      <w:szCs w:val="24"/>
                    </w:rPr>
                    <w:t xml:space="preserve">09h30min – Horário de Brasília</w:t>
                  </w:r>
                  <w:r>
                    <w:rPr>
                      <w:rFonts w:ascii="Arial" w:hAnsi="Arial" w:eastAsia="Arial" w:cs="Arial"/>
                      <w:b/>
                      <w:color w:val="000000"/>
                      <w:sz w:val="24"/>
                      <w:szCs w:val="24"/>
                    </w:rPr>
                  </w:r>
                </w:p>
                <w:p w14:paraId="3732390F" w14:textId="77777777">
                  <w:pPr>
                    <w:widowControl w:val="false"/>
                    <w:pBdr/>
                    <w:spacing/>
                    <w:ind/>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tc>
            </w:tr>
          </w:tbl>
          <w:p w14:paraId="1E07677B" w14:textId="77777777">
            <w:pPr>
              <w:widowControl w:val="false"/>
              <w:pBdr/>
              <w:spacing/>
              <w:ind/>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p w14:paraId="1D199C86" w14:textId="77777777">
            <w:pPr>
              <w:widowControl w:val="false"/>
              <w:pBdr/>
              <w:spacing/>
              <w:ind/>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tbl>
            <w:tblPr>
              <w:tblW w:w="10055" w:type="dxa"/>
              <w:tblBorders/>
              <w:tblLayout w:type="fixed"/>
              <w:tblLook w:val="0400" w:firstRow="0" w:lastRow="0" w:firstColumn="0" w:lastColumn="0" w:noHBand="0" w:noVBand="1"/>
            </w:tblPr>
            <w:tblGrid>
              <w:gridCol w:w="10055"/>
            </w:tblGrid>
            <w:tr>
              <w:trPr/>
              <w:tc>
                <w:tcPr>
                  <w:tcBorders>
                    <w:top w:val="single" w:color="000000" w:sz="4" w:space="0"/>
                    <w:left w:val="single" w:color="000000" w:sz="4" w:space="0"/>
                    <w:bottom w:val="single" w:color="000000" w:sz="4" w:space="0"/>
                    <w:right w:val="single" w:color="000000" w:sz="4" w:space="0"/>
                  </w:tcBorders>
                  <w:tcW w:w="10055" w:type="dxa"/>
                  <w:textDirection w:val="lrTb"/>
                  <w:noWrap w:val="false"/>
                </w:tcPr>
                <w:p w14:paraId="7A96750D" w14:textId="77777777">
                  <w:pPr>
                    <w:widowControl w:val="false"/>
                    <w:pBdr/>
                    <w:spacing/>
                    <w:ind/>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p w14:paraId="791572A6" w14:textId="77777777">
                  <w:pPr>
                    <w:widowControl w:val="false"/>
                    <w:pBdr/>
                    <w:spacing/>
                    <w:ind/>
                    <w:jc w:val="center"/>
                    <w:rPr>
                      <w:rFonts w:ascii="Arial" w:hAnsi="Arial" w:eastAsia="Arial" w:cs="Arial"/>
                      <w:b/>
                      <w:sz w:val="24"/>
                      <w:szCs w:val="24"/>
                    </w:rPr>
                  </w:pPr>
                  <w:r>
                    <w:rPr>
                      <w:rFonts w:ascii="Arial" w:hAnsi="Arial" w:eastAsia="Arial" w:cs="Arial"/>
                      <w:b/>
                      <w:sz w:val="24"/>
                      <w:szCs w:val="24"/>
                    </w:rPr>
                    <w:t xml:space="preserve">CONTATO</w:t>
                  </w:r>
                  <w:r>
                    <w:rPr>
                      <w:rFonts w:ascii="Arial" w:hAnsi="Arial" w:eastAsia="Arial" w:cs="Arial"/>
                      <w:b/>
                      <w:sz w:val="24"/>
                      <w:szCs w:val="24"/>
                    </w:rPr>
                  </w:r>
                </w:p>
                <w:p w14:paraId="46DC3F1E" w14:textId="77777777">
                  <w:pPr>
                    <w:widowControl w:val="false"/>
                    <w:pBdr/>
                    <w:spacing/>
                    <w:ind/>
                    <w:jc w:val="center"/>
                    <w:rPr>
                      <w:rFonts w:ascii="Arial" w:hAnsi="Arial" w:eastAsia="Arial" w:cs="Arial"/>
                      <w:b/>
                      <w:sz w:val="24"/>
                      <w:szCs w:val="24"/>
                    </w:rPr>
                  </w:pPr>
                  <w:r>
                    <w:rPr>
                      <w:rFonts w:ascii="Arial" w:hAnsi="Arial" w:eastAsia="Arial" w:cs="Arial"/>
                      <w:b/>
                      <w:sz w:val="24"/>
                      <w:szCs w:val="24"/>
                    </w:rPr>
                    <w:t xml:space="preserve">(66) 3411 5734</w:t>
                  </w:r>
                  <w:r>
                    <w:rPr>
                      <w:rFonts w:ascii="Arial" w:hAnsi="Arial" w:eastAsia="Arial" w:cs="Arial"/>
                      <w:b/>
                      <w:sz w:val="24"/>
                      <w:szCs w:val="24"/>
                    </w:rPr>
                  </w:r>
                </w:p>
                <w:p w14:paraId="0A6E42A2" w14:textId="77777777">
                  <w:pPr>
                    <w:widowControl w:val="false"/>
                    <w:pBdr/>
                    <w:spacing/>
                    <w:ind/>
                    <w:jc w:val="center"/>
                    <w:rPr>
                      <w:rFonts w:ascii="Arial" w:hAnsi="Arial" w:eastAsia="Arial" w:cs="Arial"/>
                      <w:sz w:val="24"/>
                      <w:szCs w:val="24"/>
                    </w:rPr>
                  </w:pPr>
                  <w:r/>
                  <w:hyperlink r:id="rId13" w:tooltip="mailto:pmrroo@hotmail.com" w:history="1">
                    <w:r>
                      <w:rPr>
                        <w:rFonts w:ascii="Arial" w:hAnsi="Arial" w:eastAsia="Arial" w:cs="Arial"/>
                        <w:color w:val="0000ff"/>
                        <w:sz w:val="24"/>
                        <w:szCs w:val="24"/>
                        <w:u w:val="single"/>
                      </w:rPr>
                      <w:t xml:space="preserve">pmrroo@hotmail.com</w:t>
                    </w:r>
                  </w:hyperlink>
                  <w:r/>
                  <w:r>
                    <w:rPr>
                      <w:rFonts w:ascii="Arial" w:hAnsi="Arial" w:eastAsia="Arial" w:cs="Arial"/>
                      <w:sz w:val="24"/>
                      <w:szCs w:val="24"/>
                    </w:rPr>
                  </w:r>
                </w:p>
                <w:p w14:paraId="42FF076F" w14:textId="77777777">
                  <w:pPr>
                    <w:widowControl w:val="false"/>
                    <w:pBdr/>
                    <w:spacing/>
                    <w:ind/>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tc>
            </w:tr>
          </w:tbl>
          <w:p w14:paraId="7133E0F2" w14:textId="77777777">
            <w:pPr>
              <w:widowControl w:val="false"/>
              <w:pBdr/>
              <w:spacing/>
              <w:ind/>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p w14:paraId="6E4984F2" w14:textId="77777777">
            <w:pPr>
              <w:widowControl w:val="false"/>
              <w:pBdr/>
              <w:spacing/>
              <w:ind/>
              <w:jc w:val="both"/>
              <w:rPr>
                <w:rFonts w:ascii="Arial" w:hAnsi="Arial" w:eastAsia="Arial" w:cs="Arial"/>
                <w:sz w:val="24"/>
                <w:szCs w:val="24"/>
              </w:rPr>
            </w:pPr>
            <w:r>
              <w:rPr>
                <w:rFonts w:ascii="Arial" w:hAnsi="Arial" w:eastAsia="Arial" w:cs="Arial"/>
                <w:sz w:val="24"/>
                <w:szCs w:val="24"/>
              </w:rPr>
            </w:r>
            <w:r>
              <w:rPr>
                <w:rFonts w:ascii="Arial" w:hAnsi="Arial" w:eastAsia="Arial" w:cs="Arial"/>
                <w:sz w:val="24"/>
                <w:szCs w:val="24"/>
              </w:rPr>
            </w:r>
          </w:p>
        </w:tc>
        <w:tc>
          <w:tcPr>
            <w:tcBorders/>
            <w:tcW w:w="236" w:type="dxa"/>
            <w:textDirection w:val="lrTb"/>
            <w:noWrap w:val="false"/>
          </w:tcPr>
          <w:p w14:paraId="157E1A73" w14:textId="77777777">
            <w:pPr>
              <w:widowControl w:val="false"/>
              <w:pBdr/>
              <w:spacing/>
              <w:ind/>
              <w:rPr/>
            </w:pPr>
            <w:r/>
            <w:r/>
          </w:p>
        </w:tc>
      </w:tr>
    </w:tbl>
    <w:p w14:paraId="44D5D599" w14:textId="77777777">
      <w:pPr>
        <w:pBdr/>
        <w:spacing/>
        <w:ind/>
        <w:rPr>
          <w:rFonts w:ascii="Arial" w:hAnsi="Arial" w:eastAsia="Arial" w:cs="Arial"/>
        </w:rPr>
      </w:pPr>
      <w:r>
        <w:rPr>
          <w:rFonts w:ascii="Arial" w:hAnsi="Arial" w:eastAsia="Arial" w:cs="Arial"/>
        </w:rPr>
      </w:r>
      <w:r>
        <w:rPr>
          <w:rFonts w:ascii="Arial" w:hAnsi="Arial" w:eastAsia="Arial" w:cs="Arial"/>
        </w:rPr>
      </w:r>
    </w:p>
    <w:p w14:paraId="5A701DC8" w14:textId="77777777">
      <w:pPr>
        <w:keepNext w:val="true"/>
        <w:keepLines w:val="true"/>
        <w:pBdr/>
        <w:spacing/>
        <w:ind/>
        <w:jc w:val="center"/>
        <w:rPr>
          <w:rFonts w:ascii="Arial" w:hAnsi="Arial" w:eastAsia="Arial" w:cs="Arial"/>
          <w:b/>
          <w:color w:val="000000"/>
          <w:sz w:val="24"/>
          <w:szCs w:val="24"/>
        </w:rPr>
      </w:pPr>
      <w:r>
        <w:rPr>
          <w:rFonts w:ascii="Arial" w:hAnsi="Arial" w:eastAsia="Arial" w:cs="Arial"/>
          <w:b/>
          <w:color w:val="000000"/>
          <w:sz w:val="24"/>
          <w:szCs w:val="24"/>
        </w:rPr>
      </w:r>
      <w:r>
        <w:rPr>
          <w:rFonts w:ascii="Arial" w:hAnsi="Arial" w:eastAsia="Arial" w:cs="Arial"/>
          <w:b/>
          <w:color w:val="000000"/>
          <w:sz w:val="24"/>
          <w:szCs w:val="24"/>
        </w:rPr>
      </w:r>
    </w:p>
    <w:p w14:paraId="1A335B46" w14:textId="77777777">
      <w:pPr>
        <w:keepNext w:val="true"/>
        <w:keepLines w:val="true"/>
        <w:pBdr/>
        <w:spacing/>
        <w:ind/>
        <w:jc w:val="center"/>
        <w:rPr>
          <w:rFonts w:ascii="Arial" w:hAnsi="Arial" w:eastAsia="Arial" w:cs="Arial"/>
          <w:b/>
          <w:color w:val="000000"/>
          <w:sz w:val="24"/>
          <w:szCs w:val="24"/>
        </w:rPr>
      </w:pPr>
      <w:r>
        <w:rPr>
          <w:rFonts w:ascii="Arial" w:hAnsi="Arial" w:eastAsia="Arial" w:cs="Arial"/>
          <w:b/>
          <w:color w:val="000000"/>
          <w:sz w:val="24"/>
          <w:szCs w:val="24"/>
        </w:rPr>
      </w:r>
      <w:r>
        <w:rPr>
          <w:rFonts w:ascii="Arial" w:hAnsi="Arial" w:eastAsia="Arial" w:cs="Arial"/>
          <w:b/>
          <w:color w:val="000000"/>
          <w:sz w:val="24"/>
          <w:szCs w:val="24"/>
        </w:rPr>
      </w:r>
    </w:p>
    <w:p w14:paraId="3F414932" w14:textId="77777777">
      <w:pPr>
        <w:keepNext w:val="true"/>
        <w:keepLines w:val="true"/>
        <w:pBdr/>
        <w:spacing/>
        <w:ind/>
        <w:jc w:val="center"/>
        <w:rPr>
          <w:rFonts w:ascii="Arial" w:hAnsi="Arial" w:eastAsia="Arial" w:cs="Arial"/>
          <w:b/>
          <w:color w:val="000000"/>
          <w:sz w:val="24"/>
          <w:szCs w:val="24"/>
        </w:rPr>
      </w:pPr>
      <w:r>
        <w:rPr>
          <w:rFonts w:ascii="Arial" w:hAnsi="Arial" w:eastAsia="Arial" w:cs="Arial"/>
          <w:b/>
          <w:color w:val="000000"/>
          <w:sz w:val="24"/>
          <w:szCs w:val="24"/>
        </w:rPr>
      </w:r>
      <w:r>
        <w:rPr>
          <w:rFonts w:ascii="Arial" w:hAnsi="Arial" w:eastAsia="Arial" w:cs="Arial"/>
          <w:b/>
          <w:color w:val="000000"/>
          <w:sz w:val="24"/>
          <w:szCs w:val="24"/>
        </w:rPr>
      </w:r>
    </w:p>
    <w:p w14:paraId="46A1E8EB" w14:textId="77777777">
      <w:pPr>
        <w:keepNext w:val="true"/>
        <w:keepLines w:val="true"/>
        <w:pBdr/>
        <w:spacing/>
        <w:ind/>
        <w:jc w:val="center"/>
        <w:rPr>
          <w:rFonts w:ascii="Arial" w:hAnsi="Arial" w:eastAsia="Arial" w:cs="Arial"/>
          <w:b/>
          <w:color w:val="000000"/>
          <w:sz w:val="24"/>
          <w:szCs w:val="24"/>
        </w:rPr>
      </w:pPr>
      <w:r>
        <w:rPr>
          <w:rFonts w:ascii="Arial" w:hAnsi="Arial" w:eastAsia="Arial" w:cs="Arial"/>
          <w:b/>
          <w:color w:val="000000"/>
          <w:sz w:val="24"/>
          <w:szCs w:val="24"/>
        </w:rPr>
      </w:r>
      <w:r>
        <w:rPr>
          <w:rFonts w:ascii="Arial" w:hAnsi="Arial" w:eastAsia="Arial" w:cs="Arial"/>
          <w:b/>
          <w:color w:val="000000"/>
          <w:sz w:val="24"/>
          <w:szCs w:val="24"/>
        </w:rPr>
      </w:r>
    </w:p>
    <w:p w14:paraId="4C714C79" w14:textId="77777777">
      <w:pPr>
        <w:pBdr/>
        <w:spacing/>
        <w:ind/>
        <w:rPr/>
      </w:pPr>
      <w:r/>
      <w:r/>
    </w:p>
    <w:p w14:paraId="318F9447" w14:textId="77777777">
      <w:pPr>
        <w:pStyle w:val="882"/>
        <w:pBdr/>
        <w:spacing w:after="0" w:before="0"/>
        <w:ind/>
        <w:rPr>
          <w:rFonts w:eastAsia="Arial"/>
          <w:bCs w:val="0"/>
          <w:color w:val="000000"/>
          <w:sz w:val="24"/>
          <w:szCs w:val="24"/>
          <w:lang w:val="pt-BR"/>
        </w:rPr>
      </w:pPr>
      <w:r/>
      <w:bookmarkStart w:id="0" w:name="_heading=h.vvwba5e6skad"/>
      <w:r/>
      <w:bookmarkEnd w:id="0"/>
      <w:r/>
      <w:r>
        <w:rPr>
          <w:rFonts w:eastAsia="Arial"/>
          <w:bCs w:val="0"/>
          <w:color w:val="000000"/>
          <w:sz w:val="24"/>
          <w:szCs w:val="24"/>
          <w:lang w:val="pt-BR"/>
        </w:rPr>
      </w:r>
    </w:p>
    <w:p w14:paraId="6C3824DB" w14:textId="77777777">
      <w:pPr>
        <w:pBdr/>
        <w:spacing/>
        <w:ind/>
        <w:rPr>
          <w:rFonts w:eastAsia="Arial"/>
        </w:rPr>
      </w:pPr>
      <w:r>
        <w:rPr>
          <w:rFonts w:eastAsia="Arial"/>
        </w:rPr>
      </w:r>
      <w:r>
        <w:rPr>
          <w:rFonts w:eastAsia="Arial"/>
        </w:rPr>
      </w:r>
    </w:p>
    <w:p w14:paraId="40EAE72F" w14:textId="77777777">
      <w:pPr>
        <w:pBdr/>
        <w:spacing/>
        <w:ind/>
        <w:rPr>
          <w:rFonts w:eastAsia="Arial"/>
        </w:rPr>
      </w:pPr>
      <w:r>
        <w:rPr>
          <w:rFonts w:eastAsia="Arial"/>
        </w:rPr>
      </w:r>
      <w:r>
        <w:rPr>
          <w:rFonts w:eastAsia="Arial"/>
        </w:rPr>
      </w:r>
    </w:p>
    <w:p w14:paraId="0EB3D935" w14:textId="77777777">
      <w:pPr>
        <w:pBdr/>
        <w:spacing/>
        <w:ind/>
        <w:rPr>
          <w:rFonts w:eastAsia="Arial"/>
        </w:rPr>
      </w:pPr>
      <w:r>
        <w:rPr>
          <w:rFonts w:eastAsia="Arial"/>
        </w:rPr>
      </w:r>
      <w:r>
        <w:rPr>
          <w:rFonts w:eastAsia="Arial"/>
        </w:rPr>
      </w:r>
    </w:p>
    <w:p w14:paraId="24A085A5" w14:textId="77777777">
      <w:pPr>
        <w:pStyle w:val="882"/>
        <w:pBdr/>
        <w:spacing w:after="0" w:before="0"/>
        <w:ind/>
        <w:rPr>
          <w:sz w:val="20"/>
          <w:szCs w:val="20"/>
        </w:rPr>
      </w:pPr>
      <w:r>
        <w:rPr>
          <w:sz w:val="20"/>
          <w:szCs w:val="20"/>
        </w:rPr>
        <w:t xml:space="preserve">1. PREÂMBULO:</w:t>
      </w:r>
      <w:r>
        <w:rPr>
          <w:sz w:val="20"/>
          <w:szCs w:val="20"/>
        </w:rPr>
      </w:r>
    </w:p>
    <w:p w14:paraId="3D33D80B" w14:textId="77777777">
      <w:pPr>
        <w:pStyle w:val="882"/>
        <w:pBdr/>
        <w:spacing w:after="0" w:before="0"/>
        <w:ind/>
        <w:rPr>
          <w:sz w:val="20"/>
          <w:szCs w:val="20"/>
        </w:rPr>
      </w:pPr>
      <w:r/>
      <w:bookmarkStart w:id="1" w:name="_heading=h.qlor5vhwp8h7"/>
      <w:r/>
      <w:bookmarkEnd w:id="1"/>
      <w:r/>
      <w:r>
        <w:rPr>
          <w:sz w:val="20"/>
          <w:szCs w:val="20"/>
        </w:rPr>
      </w:r>
    </w:p>
    <w:p w14:paraId="08F3F451" w14:textId="77777777">
      <w:pPr>
        <w:numPr>
          <w:ilvl w:val="1"/>
          <w:numId w:val="2"/>
        </w:numPr>
        <w:pBdr/>
        <w:tabs>
          <w:tab w:val="left" w:leader="none" w:pos="426"/>
        </w:tabs>
        <w:spacing/>
        <w:ind w:firstLine="0" w:left="0"/>
        <w:jc w:val="both"/>
        <w:rPr>
          <w:rFonts w:ascii="Arial" w:hAnsi="Arial" w:eastAsia="Arial" w:cs="Arial"/>
          <w:b/>
        </w:rPr>
      </w:pPr>
      <w:r/>
      <w:bookmarkStart w:id="2" w:name="_heading=h.e9uu9887wp2r"/>
      <w:r/>
      <w:bookmarkEnd w:id="2"/>
      <w:r>
        <w:rPr>
          <w:rFonts w:ascii="Arial" w:hAnsi="Arial" w:eastAsia="Arial" w:cs="Arial"/>
          <w:b/>
        </w:rPr>
        <w:t xml:space="preserve">EDITAL DE LICITAÇÃO: PREGÃO ELETRÔNICO N.º 10/2026, </w:t>
      </w:r>
      <w:r>
        <w:rPr>
          <w:rFonts w:ascii="Arial" w:hAnsi="Arial" w:eastAsia="Arial" w:cs="Arial"/>
          <w:b/>
          <w:highlight w:val="white"/>
        </w:rPr>
        <w:t xml:space="preserve">PROCESSO Nº 68/20</w:t>
      </w:r>
      <w:r>
        <w:rPr>
          <w:rFonts w:ascii="Arial" w:hAnsi="Arial" w:eastAsia="Arial" w:cs="Arial"/>
          <w:b/>
          <w:highlight w:val="white"/>
        </w:rPr>
        <w:t xml:space="preserve">26</w:t>
      </w:r>
      <w:r>
        <w:rPr>
          <w:rFonts w:ascii="Arial" w:hAnsi="Arial" w:eastAsia="Arial" w:cs="Arial"/>
          <w:b/>
          <w:highlight w:val="white"/>
        </w:rPr>
        <w:t xml:space="preserve">.</w:t>
      </w:r>
      <w:r>
        <w:rPr>
          <w:rFonts w:ascii="Arial" w:hAnsi="Arial" w:eastAsia="Arial" w:cs="Arial"/>
          <w:b/>
        </w:rPr>
      </w:r>
    </w:p>
    <w:p w14:paraId="11F0847F"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5317B109" w14:textId="77777777">
      <w:pPr>
        <w:pBdr/>
        <w:spacing/>
        <w:ind/>
        <w:jc w:val="both"/>
        <w:rPr/>
      </w:pPr>
      <w:r/>
      <w:bookmarkStart w:id="3" w:name="_heading=h.ma8d0d9np7x"/>
      <w:r/>
      <w:bookmarkEnd w:id="3"/>
      <w:r>
        <w:rPr>
          <w:rFonts w:ascii="Arial" w:hAnsi="Arial" w:eastAsia="Arial" w:cs="Arial"/>
          <w:b/>
        </w:rPr>
        <w:t xml:space="preserve">1.2. CRITÉRIO DE JULGAMENTO DA LICITAÇÃO</w:t>
      </w:r>
      <w:r>
        <w:t xml:space="preserve">: </w:t>
      </w:r>
      <w:r/>
    </w:p>
    <w:p w14:paraId="4EEF8940"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56713411" w14:textId="77777777">
      <w:pPr>
        <w:pBdr/>
        <w:spacing/>
        <w:ind/>
        <w:jc w:val="both"/>
        <w:rPr>
          <w:rFonts w:ascii="Arial" w:hAnsi="Arial" w:eastAsia="Arial" w:cs="Arial"/>
          <w:b/>
          <w:color w:val="000000"/>
        </w:rPr>
      </w:pPr>
      <w:r>
        <w:rPr>
          <w:rFonts w:ascii="Arial" w:hAnsi="Arial" w:eastAsia="Arial" w:cs="Arial"/>
          <w:b/>
        </w:rPr>
        <w:t xml:space="preserve">1.2.1. </w:t>
      </w:r>
      <w:r>
        <w:rPr>
          <w:rFonts w:ascii="Arial" w:hAnsi="Arial" w:eastAsia="Arial" w:cs="Arial"/>
          <w:b/>
          <w:color w:val="000000"/>
        </w:rPr>
        <w:t xml:space="preserve">MENOR PREÇO POR LOTE.</w:t>
      </w:r>
      <w:r>
        <w:rPr>
          <w:rFonts w:ascii="Arial" w:hAnsi="Arial" w:eastAsia="Arial" w:cs="Arial"/>
          <w:b/>
          <w:color w:val="000000"/>
        </w:rPr>
      </w:r>
    </w:p>
    <w:p w14:paraId="4FE74585"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7662D4E2" w14:textId="77777777">
      <w:pPr>
        <w:pBdr/>
        <w:spacing/>
        <w:ind/>
        <w:jc w:val="both"/>
        <w:rPr>
          <w:rFonts w:ascii="Arial" w:hAnsi="Arial" w:eastAsia="Arial" w:cs="Arial"/>
          <w:b/>
        </w:rPr>
      </w:pPr>
      <w:r>
        <w:rPr>
          <w:rFonts w:ascii="Arial" w:hAnsi="Arial" w:eastAsia="Arial" w:cs="Arial"/>
          <w:b/>
        </w:rPr>
        <w:t xml:space="preserve">1.2.1.2</w:t>
      </w:r>
      <w:r>
        <w:rPr>
          <w:rFonts w:ascii="Arial" w:hAnsi="Arial" w:eastAsia="Arial" w:cs="Arial"/>
        </w:rPr>
        <w:t xml:space="preserve">. </w:t>
      </w:r>
      <w:r>
        <w:rPr>
          <w:rFonts w:ascii="Arial" w:hAnsi="Arial" w:eastAsia="Arial" w:cs="Arial"/>
          <w:color w:val="000000"/>
        </w:rPr>
        <w:t xml:space="preserve">O custo estimado da contratação é </w:t>
      </w:r>
      <w:r>
        <w:rPr>
          <w:rFonts w:ascii="Arial" w:hAnsi="Arial" w:cs="Arial"/>
        </w:rPr>
        <w:t xml:space="preserve">de </w:t>
      </w:r>
      <w:r>
        <w:rPr>
          <w:rFonts w:ascii="Arial" w:hAnsi="Arial" w:cs="Arial"/>
          <w:b/>
          <w:bCs/>
        </w:rPr>
        <w:t xml:space="preserve">R$ 860.678,86 (Oitocentos e sessenta mil, seiscentos e setenta e oito reais e oitenta e seis centavos).</w:t>
      </w:r>
      <w:r>
        <w:rPr>
          <w:rFonts w:ascii="Arial" w:hAnsi="Arial" w:eastAsia="Arial" w:cs="Arial"/>
          <w:b/>
        </w:rPr>
      </w:r>
    </w:p>
    <w:p w14:paraId="488DCC93" w14:textId="77777777">
      <w:pPr>
        <w:pBdr/>
        <w:spacing/>
        <w:ind/>
        <w:rPr>
          <w:rFonts w:ascii="Arial" w:hAnsi="Arial" w:eastAsia="Arial" w:cs="Arial"/>
          <w:b/>
        </w:rPr>
      </w:pPr>
      <w:r>
        <w:rPr>
          <w:rFonts w:ascii="Arial" w:hAnsi="Arial" w:eastAsia="Arial" w:cs="Arial"/>
          <w:b/>
        </w:rPr>
      </w:r>
      <w:r>
        <w:rPr>
          <w:rFonts w:ascii="Arial" w:hAnsi="Arial" w:eastAsia="Arial" w:cs="Arial"/>
          <w:b/>
        </w:rPr>
      </w:r>
    </w:p>
    <w:p w14:paraId="02EE0197" w14:textId="77777777">
      <w:pPr>
        <w:pBdr/>
        <w:spacing/>
        <w:ind/>
        <w:jc w:val="both"/>
        <w:rPr>
          <w:rFonts w:ascii="Arial" w:hAnsi="Arial" w:eastAsia="Arial" w:cs="Arial"/>
          <w:b/>
        </w:rPr>
      </w:pPr>
      <w:r>
        <w:rPr>
          <w:rFonts w:ascii="Arial" w:hAnsi="Arial" w:eastAsia="Arial" w:cs="Arial"/>
          <w:b/>
        </w:rPr>
        <w:t xml:space="preserve">1.3. Data</w:t>
      </w:r>
      <w:r>
        <w:rPr>
          <w:rFonts w:ascii="Arial" w:hAnsi="Arial" w:eastAsia="Arial" w:cs="Arial"/>
          <w:b/>
          <w:color w:val="ff0000"/>
          <w:highlight w:val="white"/>
        </w:rPr>
        <w:t xml:space="preserve">: 22/04/2026</w:t>
      </w:r>
      <w:r>
        <w:rPr>
          <w:rFonts w:ascii="Arial" w:hAnsi="Arial" w:eastAsia="Arial" w:cs="Arial"/>
          <w:b/>
          <w:color w:val="000000"/>
          <w:highlight w:val="white"/>
        </w:rPr>
        <w:t xml:space="preserve">,</w:t>
      </w:r>
      <w:r>
        <w:rPr>
          <w:rFonts w:ascii="Arial" w:hAnsi="Arial" w:eastAsia="Arial" w:cs="Arial"/>
          <w:b/>
          <w:highlight w:val="white"/>
        </w:rPr>
        <w:t xml:space="preserve"> Horário Brasília: </w:t>
      </w:r>
      <w:r>
        <w:rPr>
          <w:rFonts w:ascii="Arial" w:hAnsi="Arial" w:eastAsia="Arial" w:cs="Arial"/>
          <w:b/>
          <w:color w:val="ff0000"/>
          <w:highlight w:val="white"/>
        </w:rPr>
        <w:t xml:space="preserve">09:30hs</w:t>
      </w:r>
      <w:r>
        <w:rPr>
          <w:rFonts w:ascii="Arial" w:hAnsi="Arial" w:eastAsia="Arial" w:cs="Arial"/>
          <w:b/>
          <w:highlight w:val="white"/>
        </w:rPr>
        <w:t xml:space="preserve">,</w:t>
      </w:r>
      <w:r>
        <w:rPr>
          <w:rFonts w:ascii="Arial" w:hAnsi="Arial" w:eastAsia="Arial" w:cs="Arial"/>
          <w:b/>
        </w:rPr>
        <w:t xml:space="preserve"> </w:t>
      </w:r>
      <w:r>
        <w:rPr>
          <w:rFonts w:ascii="Arial" w:hAnsi="Arial" w:eastAsia="Arial" w:cs="Arial"/>
        </w:rPr>
        <w:t xml:space="preserve">Endereço:</w:t>
      </w:r>
      <w:r>
        <w:rPr>
          <w:rFonts w:ascii="Arial" w:hAnsi="Arial" w:eastAsia="Arial" w:cs="Arial"/>
          <w:b/>
        </w:rPr>
        <w:t xml:space="preserve"> Prefeitura Municipal de Rondonópolis </w:t>
      </w:r>
      <w:r>
        <w:rPr>
          <w:rFonts w:ascii="Arial" w:hAnsi="Arial" w:eastAsia="Arial" w:cs="Arial"/>
        </w:rPr>
        <w:t xml:space="preserve">-</w:t>
      </w:r>
      <w:r>
        <w:rPr>
          <w:rFonts w:ascii="Arial" w:hAnsi="Arial" w:eastAsia="Arial" w:cs="Arial"/>
          <w:b/>
        </w:rPr>
        <w:t xml:space="preserve"> </w:t>
      </w:r>
      <w:r>
        <w:rPr>
          <w:rFonts w:ascii="Arial" w:hAnsi="Arial" w:eastAsia="Arial" w:cs="Arial"/>
        </w:rPr>
        <w:t xml:space="preserve">Estado de Mato Grosso</w:t>
      </w:r>
      <w:r>
        <w:rPr>
          <w:rFonts w:ascii="Arial" w:hAnsi="Arial" w:eastAsia="Arial" w:cs="Arial"/>
          <w:b/>
        </w:rPr>
        <w:t xml:space="preserve">, </w:t>
      </w:r>
      <w:r>
        <w:rPr>
          <w:rFonts w:ascii="Arial" w:hAnsi="Arial" w:eastAsia="Arial" w:cs="Arial"/>
        </w:rPr>
        <w:t xml:space="preserve">Avenida Duque de Caxias n.º 1.000, CEP: 78.740-022, Bairro: Vila Aurora -</w:t>
      </w:r>
      <w:r>
        <w:rPr>
          <w:rFonts w:ascii="Arial" w:hAnsi="Arial" w:eastAsia="Arial" w:cs="Arial"/>
          <w:b/>
        </w:rPr>
        <w:t xml:space="preserve"> Sala de Licitações – PISO SUPERIOR.</w:t>
      </w:r>
      <w:r>
        <w:rPr>
          <w:rFonts w:ascii="Arial" w:hAnsi="Arial" w:eastAsia="Arial" w:cs="Arial"/>
          <w:b/>
        </w:rPr>
      </w:r>
    </w:p>
    <w:p w14:paraId="7FBFBDB1"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79DD2636" w14:textId="77777777">
      <w:pPr>
        <w:pBdr/>
        <w:spacing/>
        <w:ind/>
        <w:jc w:val="both"/>
        <w:rPr>
          <w:rFonts w:ascii="Arial" w:hAnsi="Arial" w:eastAsia="Arial" w:cs="Arial"/>
        </w:rPr>
      </w:pPr>
      <w:r>
        <w:rPr>
          <w:rFonts w:ascii="Arial" w:hAnsi="Arial" w:eastAsia="Arial" w:cs="Arial"/>
          <w:b/>
        </w:rPr>
        <w:t xml:space="preserve">1.4.</w:t>
      </w:r>
      <w:r>
        <w:rPr>
          <w:rFonts w:ascii="Arial" w:hAnsi="Arial" w:eastAsia="Arial" w:cs="Arial"/>
        </w:rPr>
        <w:t xml:space="preserve"> O Preg</w:t>
      </w:r>
      <w:r>
        <w:rPr>
          <w:rFonts w:ascii="Arial" w:hAnsi="Arial" w:eastAsia="Arial" w:cs="Arial"/>
        </w:rPr>
        <w:t xml:space="preserve">ão Eletrônico será realizado em sessão pública, por meio da INTERNET, mediante condições de segurança - criptografia e autenticação em todas as suas fases. Os trabalhos serão conduzidos por servidor integrante do quadro da Prefeitura Municipal, denominado </w:t>
      </w:r>
      <w:r>
        <w:rPr>
          <w:rFonts w:ascii="Arial" w:hAnsi="Arial" w:eastAsia="Arial" w:cs="Arial"/>
          <w:b/>
        </w:rPr>
        <w:t xml:space="preserve">Pregoeiro</w:t>
      </w:r>
      <w:r>
        <w:rPr>
          <w:rFonts w:ascii="Arial" w:hAnsi="Arial" w:eastAsia="Arial" w:cs="Arial"/>
        </w:rPr>
        <w:t xml:space="preserve">, mediante a inserção e monitoramento de dados gerados ou transferidos para o aplicativo, constante da página eletrônica da </w:t>
      </w:r>
      <w:r>
        <w:rPr>
          <w:rFonts w:ascii="Arial" w:hAnsi="Arial" w:eastAsia="Arial" w:cs="Arial"/>
          <w:b/>
        </w:rPr>
        <w:t xml:space="preserve">BLL– Bolsa de Licitações e Leilões: </w:t>
      </w:r>
      <w:hyperlink r:id="rId14" w:tooltip="http://www.bllcompras.org.br/" w:history="1">
        <w:r>
          <w:rPr>
            <w:rFonts w:ascii="Arial" w:hAnsi="Arial" w:eastAsia="Arial" w:cs="Arial"/>
            <w:b/>
            <w:color w:val="0000ff"/>
            <w:u w:val="single"/>
          </w:rPr>
          <w:t xml:space="preserve">bllcompras.com</w:t>
        </w:r>
      </w:hyperlink>
      <w:r>
        <w:rPr>
          <w:rFonts w:ascii="Arial" w:hAnsi="Arial" w:eastAsia="Arial" w:cs="Arial"/>
        </w:rPr>
        <w:t xml:space="preserve">. </w:t>
      </w:r>
      <w:r>
        <w:rPr>
          <w:rFonts w:ascii="Arial" w:hAnsi="Arial" w:eastAsia="Arial" w:cs="Arial"/>
        </w:rPr>
      </w:r>
    </w:p>
    <w:p w14:paraId="340FE093"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60274416" w14:textId="77777777">
      <w:pPr>
        <w:pBdr/>
        <w:spacing/>
        <w:ind/>
        <w:jc w:val="both"/>
        <w:rPr>
          <w:rFonts w:ascii="Arial" w:hAnsi="Arial" w:eastAsia="Arial" w:cs="Arial"/>
        </w:rPr>
      </w:pPr>
      <w:r>
        <w:rPr>
          <w:rFonts w:ascii="Arial" w:hAnsi="Arial" w:eastAsia="Arial" w:cs="Arial"/>
          <w:b/>
        </w:rPr>
        <w:t xml:space="preserve">1.5.</w:t>
      </w:r>
      <w:r>
        <w:rPr>
          <w:rFonts w:ascii="Arial" w:hAnsi="Arial" w:eastAsia="Arial" w:cs="Arial"/>
        </w:rPr>
        <w:t xml:space="preserve"> As propostas comerciais serão recebidas a partir das </w:t>
      </w:r>
      <w:r>
        <w:rPr>
          <w:rFonts w:ascii="Arial" w:hAnsi="Arial" w:eastAsia="Arial" w:cs="Arial"/>
          <w:b/>
          <w:bCs/>
          <w:color w:val="c9211e"/>
        </w:rPr>
        <w:t xml:space="preserve">10:00 </w:t>
      </w:r>
      <w:r>
        <w:rPr>
          <w:rFonts w:ascii="Arial" w:hAnsi="Arial" w:eastAsia="Arial" w:cs="Arial"/>
          <w:b/>
          <w:color w:val="ff0000"/>
        </w:rPr>
        <w:t xml:space="preserve">horas</w:t>
      </w:r>
      <w:r>
        <w:rPr>
          <w:rFonts w:ascii="Arial" w:hAnsi="Arial" w:eastAsia="Arial" w:cs="Arial"/>
          <w:color w:val="ff0000"/>
        </w:rPr>
        <w:t xml:space="preserve"> </w:t>
      </w:r>
      <w:r>
        <w:rPr>
          <w:rFonts w:ascii="Arial" w:hAnsi="Arial" w:eastAsia="Arial" w:cs="Arial"/>
        </w:rPr>
        <w:t xml:space="preserve">do dia </w:t>
      </w:r>
      <w:r>
        <w:rPr>
          <w:rFonts w:ascii="Arial" w:hAnsi="Arial" w:eastAsia="Arial" w:cs="Arial"/>
          <w:b/>
          <w:color w:val="ff0000"/>
        </w:rPr>
        <w:t xml:space="preserve">08/04/2026</w:t>
      </w:r>
      <w:r>
        <w:rPr>
          <w:rFonts w:ascii="Arial" w:hAnsi="Arial" w:eastAsia="Arial" w:cs="Arial"/>
          <w:color w:val="ff0000"/>
        </w:rPr>
        <w:t xml:space="preserve"> </w:t>
      </w:r>
      <w:r>
        <w:rPr>
          <w:rFonts w:ascii="Arial" w:hAnsi="Arial" w:eastAsia="Arial" w:cs="Arial"/>
        </w:rPr>
        <w:t xml:space="preserve">até às </w:t>
      </w:r>
      <w:r>
        <w:rPr>
          <w:rFonts w:ascii="Arial" w:hAnsi="Arial" w:eastAsia="Arial" w:cs="Arial"/>
          <w:b/>
          <w:color w:val="ff0000"/>
        </w:rPr>
        <w:t xml:space="preserve">09h00</w:t>
      </w:r>
      <w:r>
        <w:rPr>
          <w:rFonts w:ascii="Arial" w:hAnsi="Arial" w:eastAsia="Arial" w:cs="Arial"/>
        </w:rPr>
        <w:t xml:space="preserve"> do dia </w:t>
      </w:r>
      <w:r>
        <w:rPr>
          <w:rFonts w:ascii="Arial" w:hAnsi="Arial" w:eastAsia="Arial" w:cs="Arial"/>
          <w:b/>
          <w:bCs/>
          <w:color w:val="ff0000"/>
          <w:lang w:val="undefined"/>
        </w:rPr>
        <w:t xml:space="preserve">22/04/2026</w:t>
      </w:r>
      <w:r>
        <w:rPr>
          <w:rFonts w:ascii="Arial" w:hAnsi="Arial" w:eastAsia="Arial" w:cs="Arial"/>
        </w:rPr>
        <w:t xml:space="preserve">, (horário de Brasília) por meio do endereço www.bllcompras.com, onde se encontra o link para o “Acesso Identificado”, podendo os interessados cadastrar ou substituir propostas no sistema eletrônico; </w:t>
      </w:r>
      <w:r>
        <w:rPr>
          <w:rFonts w:ascii="Arial" w:hAnsi="Arial" w:eastAsia="Arial" w:cs="Arial"/>
        </w:rPr>
      </w:r>
    </w:p>
    <w:p w14:paraId="5D6BF448"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11874467" w14:textId="77777777">
      <w:pPr>
        <w:pBdr/>
        <w:spacing/>
        <w:ind/>
        <w:jc w:val="both"/>
        <w:rPr>
          <w:rFonts w:ascii="Arial" w:hAnsi="Arial" w:eastAsia="Arial" w:cs="Arial"/>
        </w:rPr>
      </w:pPr>
      <w:r>
        <w:rPr>
          <w:rFonts w:ascii="Arial" w:hAnsi="Arial" w:eastAsia="Arial" w:cs="Arial"/>
          <w:b/>
        </w:rPr>
        <w:t xml:space="preserve">1.6.</w:t>
      </w:r>
      <w:r>
        <w:rPr>
          <w:rFonts w:ascii="Arial" w:hAnsi="Arial" w:eastAsia="Arial" w:cs="Arial"/>
        </w:rPr>
        <w:t xml:space="preserve"> As propostas serão abertas às </w:t>
      </w:r>
      <w:r>
        <w:rPr>
          <w:rFonts w:ascii="Arial" w:hAnsi="Arial" w:eastAsia="Arial" w:cs="Arial"/>
          <w:b/>
          <w:color w:val="ff0000"/>
        </w:rPr>
        <w:t xml:space="preserve">09h00</w:t>
      </w:r>
      <w:r>
        <w:rPr>
          <w:rFonts w:ascii="Arial" w:hAnsi="Arial" w:eastAsia="Arial" w:cs="Arial"/>
        </w:rPr>
        <w:t xml:space="preserve"> do dia </w:t>
      </w:r>
      <w:r>
        <w:rPr>
          <w:rFonts w:ascii="Arial" w:hAnsi="Arial" w:eastAsia="Arial" w:cs="Arial"/>
          <w:b/>
          <w:bCs/>
          <w:color w:val="ff0000"/>
        </w:rPr>
        <w:t xml:space="preserve">22/04/</w:t>
      </w:r>
      <w:r>
        <w:rPr>
          <w:rFonts w:ascii="Arial" w:hAnsi="Arial" w:eastAsia="Arial" w:cs="Arial"/>
          <w:b/>
          <w:bCs/>
          <w:color w:val="ff0000"/>
        </w:rPr>
        <w:t xml:space="preserve">202</w:t>
      </w:r>
      <w:r>
        <w:rPr>
          <w:rFonts w:ascii="Arial" w:hAnsi="Arial" w:eastAsia="Arial" w:cs="Arial"/>
          <w:b/>
          <w:color w:val="ff0000"/>
        </w:rPr>
        <w:t xml:space="preserve">6</w:t>
      </w:r>
      <w:r>
        <w:rPr>
          <w:rFonts w:ascii="Arial" w:hAnsi="Arial" w:eastAsia="Arial" w:cs="Arial"/>
        </w:rPr>
        <w:t xml:space="preserve"> (horário de Brasília). Mesmo horário. </w:t>
      </w:r>
      <w:r>
        <w:rPr>
          <w:rFonts w:ascii="Arial" w:hAnsi="Arial" w:eastAsia="Arial" w:cs="Arial"/>
        </w:rPr>
      </w:r>
    </w:p>
    <w:p w14:paraId="0D57D985"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7E407C55" w14:textId="77777777">
      <w:pPr>
        <w:pBdr/>
        <w:spacing/>
        <w:ind/>
        <w:jc w:val="both"/>
        <w:rPr>
          <w:rFonts w:ascii="Arial" w:hAnsi="Arial" w:eastAsia="Arial" w:cs="Arial"/>
        </w:rPr>
      </w:pPr>
      <w:r>
        <w:rPr>
          <w:rFonts w:ascii="Arial" w:hAnsi="Arial" w:eastAsia="Arial" w:cs="Arial"/>
          <w:b/>
        </w:rPr>
        <w:t xml:space="preserve">1.7.</w:t>
      </w:r>
      <w:r>
        <w:rPr>
          <w:rFonts w:ascii="Arial" w:hAnsi="Arial" w:eastAsia="Arial" w:cs="Arial"/>
        </w:rPr>
        <w:t xml:space="preserve"> O início da sessão de disputa de preços ocorrerá às </w:t>
      </w:r>
      <w:r>
        <w:rPr>
          <w:rFonts w:ascii="Arial" w:hAnsi="Arial" w:eastAsia="Arial" w:cs="Arial"/>
          <w:b/>
          <w:color w:val="ff0000"/>
        </w:rPr>
        <w:t xml:space="preserve">09h30</w:t>
      </w:r>
      <w:r>
        <w:rPr>
          <w:rFonts w:ascii="Arial" w:hAnsi="Arial" w:eastAsia="Arial" w:cs="Arial"/>
        </w:rPr>
        <w:t xml:space="preserve"> do dia </w:t>
      </w:r>
      <w:r>
        <w:rPr>
          <w:rFonts w:ascii="Arial" w:hAnsi="Arial" w:eastAsia="Arial" w:cs="Arial"/>
          <w:b/>
          <w:color w:val="ff0000"/>
        </w:rPr>
        <w:t xml:space="preserve">22/04/2026</w:t>
      </w:r>
      <w:r>
        <w:rPr>
          <w:rFonts w:ascii="Arial" w:hAnsi="Arial" w:eastAsia="Arial" w:cs="Arial"/>
        </w:rPr>
        <w:t xml:space="preserve"> (horário de Brasília). Mesmo horário.</w:t>
      </w:r>
      <w:r>
        <w:rPr>
          <w:rFonts w:ascii="Arial" w:hAnsi="Arial" w:eastAsia="Arial" w:cs="Arial"/>
        </w:rPr>
      </w:r>
    </w:p>
    <w:p w14:paraId="0AEED1DA"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06F54D2C" w14:textId="77777777">
      <w:pPr>
        <w:pBdr/>
        <w:spacing/>
        <w:ind/>
        <w:jc w:val="both"/>
        <w:rPr>
          <w:rFonts w:ascii="Arial" w:hAnsi="Arial" w:eastAsia="Arial" w:cs="Arial"/>
        </w:rPr>
      </w:pPr>
      <w:r>
        <w:rPr>
          <w:rFonts w:ascii="Arial" w:hAnsi="Arial" w:eastAsia="Arial" w:cs="Arial"/>
          <w:b/>
        </w:rPr>
        <w:t xml:space="preserve">1.8.</w:t>
      </w:r>
      <w:r>
        <w:rPr>
          <w:rFonts w:ascii="Arial" w:hAnsi="Arial" w:eastAsia="Arial" w:cs="Arial"/>
        </w:rPr>
        <w:t xml:space="preserve"> O número da Licitação no </w:t>
      </w:r>
      <w:r>
        <w:rPr>
          <w:rFonts w:ascii="Arial" w:hAnsi="Arial" w:eastAsia="Arial" w:cs="Arial"/>
          <w:b/>
        </w:rPr>
        <w:t xml:space="preserve">site da BLL é Pregão Eletrônico n.º 10/2026 e</w:t>
      </w:r>
      <w:r>
        <w:rPr>
          <w:rFonts w:ascii="Arial" w:hAnsi="Arial" w:eastAsia="Arial" w:cs="Arial"/>
          <w:b/>
          <w:highlight w:val="white"/>
        </w:rPr>
        <w:t xml:space="preserve"> </w:t>
      </w:r>
      <w:r>
        <w:rPr>
          <w:rFonts w:ascii="Arial" w:hAnsi="Arial" w:eastAsia="Arial" w:cs="Arial"/>
          <w:b/>
          <w:highlight w:val="white"/>
        </w:rPr>
        <w:t xml:space="preserve">Processo n.º 68/202</w:t>
      </w:r>
      <w:r>
        <w:rPr>
          <w:rFonts w:ascii="Arial" w:hAnsi="Arial" w:eastAsia="Arial" w:cs="Arial"/>
          <w:b/>
          <w:highlight w:val="white"/>
        </w:rPr>
        <w:t xml:space="preserve">6</w:t>
      </w:r>
      <w:r>
        <w:rPr>
          <w:rFonts w:ascii="Arial" w:hAnsi="Arial" w:eastAsia="Arial" w:cs="Arial"/>
          <w:highlight w:val="white"/>
        </w:rPr>
        <w:t xml:space="preserve"> e</w:t>
      </w:r>
      <w:r>
        <w:rPr>
          <w:rFonts w:ascii="Arial" w:hAnsi="Arial" w:eastAsia="Arial" w:cs="Arial"/>
        </w:rPr>
        <w:t xml:space="preserve"> nome utilizado é </w:t>
      </w:r>
      <w:r>
        <w:rPr>
          <w:rFonts w:ascii="Arial" w:hAnsi="Arial" w:eastAsia="Arial" w:cs="Arial"/>
          <w:b/>
        </w:rPr>
        <w:t xml:space="preserve">Prefeitura Municipal de Rondonópolis – MT.</w:t>
      </w:r>
      <w:r>
        <w:rPr>
          <w:rFonts w:ascii="Arial" w:hAnsi="Arial" w:eastAsia="Arial" w:cs="Arial"/>
        </w:rPr>
      </w:r>
    </w:p>
    <w:p w14:paraId="0B9E5493"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541F38BC" w14:textId="77777777">
      <w:pPr>
        <w:pBdr/>
        <w:spacing/>
        <w:ind/>
        <w:jc w:val="both"/>
        <w:rPr>
          <w:rFonts w:ascii="Arial" w:hAnsi="Arial" w:eastAsia="Arial" w:cs="Arial"/>
        </w:rPr>
      </w:pPr>
      <w:r>
        <w:rPr>
          <w:rFonts w:ascii="Arial" w:hAnsi="Arial" w:eastAsia="Arial" w:cs="Arial"/>
          <w:b/>
        </w:rPr>
        <w:t xml:space="preserve">1.9. FUNDAMENTO LEGAL: </w:t>
      </w:r>
      <w:r>
        <w:rPr>
          <w:rFonts w:ascii="Arial" w:hAnsi="Arial" w:eastAsia="Arial" w:cs="Arial"/>
        </w:rPr>
        <w:t xml:space="preserve">O Município de Rondonópolis, Estado de Mato Grosso, mediante ao (a) Pregoeiro (a) e Equipe de Apoio, designada </w:t>
      </w:r>
      <w:r>
        <w:rPr>
          <w:rFonts w:ascii="Arial" w:hAnsi="Arial" w:cs="Arial"/>
        </w:rPr>
        <w:t xml:space="preserve">pela Portaria nº 40.336 de 12 de novembro de 2025 </w:t>
      </w:r>
      <w:r>
        <w:rPr>
          <w:rFonts w:ascii="Arial" w:hAnsi="Arial" w:eastAsia="Arial" w:cs="Arial"/>
        </w:rPr>
        <w:t xml:space="preserve">torna público para conhecimento dos interessados que esta licitação é regida </w:t>
      </w:r>
      <w:r>
        <w:rPr>
          <w:rFonts w:ascii="Arial" w:hAnsi="Arial" w:eastAsia="Arial" w:cs="Arial"/>
          <w:color w:val="000000"/>
        </w:rPr>
        <w:t xml:space="preserve">nos termos da </w:t>
      </w:r>
      <w:r>
        <w:rPr>
          <w:rFonts w:ascii="Arial" w:hAnsi="Arial" w:eastAsia="Arial" w:cs="Arial"/>
          <w:b/>
        </w:rPr>
        <w:t xml:space="preserve">Lei nº 14.133, de 1º de abril de 2021, Decreto nº 11.462, de 31 de março de 2023</w:t>
      </w:r>
      <w:r>
        <w:rPr>
          <w:rFonts w:ascii="Arial" w:hAnsi="Arial" w:eastAsia="Arial" w:cs="Arial"/>
        </w:rPr>
        <w:t xml:space="preserve"> e </w:t>
      </w:r>
      <w:r>
        <w:rPr>
          <w:rFonts w:ascii="Arial" w:hAnsi="Arial" w:eastAsia="Arial" w:cs="Arial"/>
          <w:b/>
        </w:rPr>
        <w:t xml:space="preserve">Decreto nº 11.685, de 18 de setembro de 2023</w:t>
      </w:r>
      <w:r>
        <w:rPr>
          <w:rFonts w:ascii="Arial" w:hAnsi="Arial" w:eastAsia="Arial" w:cs="Arial"/>
        </w:rPr>
        <w:t xml:space="preserve">, e demais legislação aplicável e, ainda, de acordo com as condições estabelecidas neste Edital.</w:t>
      </w:r>
      <w:r>
        <w:rPr>
          <w:rFonts w:ascii="Arial" w:hAnsi="Arial" w:eastAsia="Arial" w:cs="Arial"/>
        </w:rPr>
      </w:r>
    </w:p>
    <w:p w14:paraId="4CD05A04"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701A1D7F" w14:textId="77777777">
      <w:pPr>
        <w:pStyle w:val="882"/>
        <w:pBdr/>
        <w:spacing w:after="0" w:before="0"/>
        <w:ind/>
        <w:rPr>
          <w:sz w:val="20"/>
          <w:szCs w:val="20"/>
          <w:lang w:val="pt-BR"/>
        </w:rPr>
      </w:pPr>
      <w:r/>
      <w:bookmarkStart w:id="4" w:name="_heading=h.ph56bqv1gu93"/>
      <w:r/>
      <w:bookmarkEnd w:id="4"/>
      <w:r>
        <w:rPr>
          <w:sz w:val="20"/>
          <w:szCs w:val="20"/>
          <w:lang w:val="pt-BR"/>
        </w:rPr>
        <w:t xml:space="preserve">2. DO OBJETO:</w:t>
      </w:r>
      <w:r>
        <w:rPr>
          <w:sz w:val="20"/>
          <w:szCs w:val="20"/>
          <w:lang w:val="pt-BR"/>
        </w:rPr>
      </w:r>
    </w:p>
    <w:p w14:paraId="34EA8D5E" w14:textId="77777777">
      <w:pPr>
        <w:pBdr/>
        <w:spacing/>
        <w:ind/>
        <w:rPr/>
      </w:pPr>
      <w:r/>
      <w:r/>
    </w:p>
    <w:p w14:paraId="253E2F49" w14:textId="77777777">
      <w:pPr>
        <w:pBdr/>
        <w:spacing/>
        <w:ind/>
        <w:jc w:val="both"/>
        <w:rPr>
          <w:rFonts w:ascii="Arial" w:hAnsi="Arial" w:eastAsia="Arial" w:cs="Arial"/>
          <w:b/>
          <w:i/>
        </w:rPr>
      </w:pPr>
      <w:r/>
      <w:bookmarkStart w:id="5" w:name="_heading=h.2npcc1zfl4lo"/>
      <w:r/>
      <w:bookmarkEnd w:id="5"/>
      <w:r>
        <w:rPr>
          <w:rFonts w:ascii="Arial" w:hAnsi="Arial" w:eastAsia="Arial" w:cs="Arial"/>
          <w:b/>
        </w:rPr>
        <w:t xml:space="preserve">2.1.</w:t>
      </w:r>
      <w:r>
        <w:rPr>
          <w:rFonts w:ascii="Arial" w:hAnsi="Arial" w:eastAsia="Arial" w:cs="Arial"/>
        </w:rPr>
        <w:t xml:space="preserve"> O objeto da presente licitação é</w:t>
      </w:r>
      <w:r>
        <w:rPr>
          <w:rFonts w:ascii="Arial" w:hAnsi="Arial" w:eastAsia="Arial" w:cs="Arial"/>
          <w:color w:val="000000"/>
        </w:rPr>
        <w:t xml:space="preserve"> </w:t>
      </w:r>
      <w:r>
        <w:rPr>
          <w:rFonts w:ascii="Arial" w:hAnsi="Arial" w:eastAsia="Arial" w:cs="Arial"/>
          <w:b/>
          <w:bCs/>
          <w:i/>
          <w:iCs/>
          <w:color w:val="000000"/>
          <w:sz w:val="18"/>
          <w:szCs w:val="18"/>
        </w:rPr>
        <w:t xml:space="preserve">REGISTRO DE PREÇOS PARA FUTURA E EVENTUAL CONTRATAÇÃO DE SERVIÇOS FUNERÁRIOS DE TRANSLADO E TANATOPRAXIA, DESTINADOS AO ATENDIMENTO DAS NECESSIDA-DES DE FAMÍLIAS EM SITUAÇÃO DE VU</w:t>
      </w:r>
      <w:r>
        <w:rPr>
          <w:rFonts w:ascii="Arial" w:hAnsi="Arial" w:eastAsia="Arial" w:cs="Arial"/>
          <w:b/>
          <w:bCs/>
          <w:i/>
          <w:iCs/>
          <w:color w:val="000000"/>
          <w:sz w:val="18"/>
          <w:szCs w:val="18"/>
        </w:rPr>
        <w:t xml:space="preserve">LNERABILIDADE SOCIOECONÔMICA, ASSISTIDAS PELA SECRETARIA MUNICIPAL DE PROMOÇÃO E ASSISTÊNCIA SOCIAL – SEMPRAS. A CONTRATAÇÃO BUSCA ASSEGURAR A PRESTAÇÃO TEMPESTIVA, CONTÍNUA E ADEQUADA DOS SERVIÇOS, GARANTINDO DIGNIDADE NO ATENDIMENTO ÀS SITUAÇÕES DE ÓBITO</w:t>
      </w:r>
      <w:r>
        <w:rPr>
          <w:rFonts w:ascii="Arial" w:hAnsi="Arial" w:eastAsia="Arial" w:cs="Arial"/>
          <w:b/>
          <w:i/>
          <w:sz w:val="18"/>
          <w:szCs w:val="18"/>
        </w:rPr>
        <w:t xml:space="preserve">, CONFORME ESPECIFICAÇÕES E QUANTITATIVOS E</w:t>
      </w:r>
      <w:r>
        <w:rPr>
          <w:rFonts w:ascii="Arial" w:hAnsi="Arial" w:eastAsia="Arial" w:cs="Arial"/>
          <w:b/>
          <w:i/>
          <w:sz w:val="18"/>
          <w:szCs w:val="18"/>
        </w:rPr>
        <w:t xml:space="preserve">STABELECIDOS NO EDITAL E SEUS ANEXOS.</w:t>
      </w:r>
      <w:r>
        <w:rPr>
          <w:rFonts w:ascii="Arial" w:hAnsi="Arial" w:eastAsia="Arial" w:cs="Arial"/>
          <w:b/>
          <w:i/>
        </w:rPr>
      </w:r>
    </w:p>
    <w:p w14:paraId="5DA8B8B8" w14:textId="77777777">
      <w:pPr>
        <w:pBdr/>
        <w:spacing/>
        <w:ind/>
        <w:jc w:val="both"/>
        <w:rPr>
          <w:rFonts w:ascii="Arial" w:hAnsi="Arial" w:eastAsia="Arial" w:cs="Arial"/>
          <w:b/>
          <w:i/>
        </w:rPr>
      </w:pPr>
      <w:r>
        <w:rPr>
          <w:rFonts w:ascii="Arial" w:hAnsi="Arial" w:eastAsia="Arial" w:cs="Arial"/>
          <w:b/>
          <w:i/>
        </w:rPr>
      </w:r>
      <w:r>
        <w:rPr>
          <w:rFonts w:ascii="Arial" w:hAnsi="Arial" w:eastAsia="Arial" w:cs="Arial"/>
          <w:b/>
          <w:i/>
        </w:rPr>
      </w:r>
    </w:p>
    <w:p w14:paraId="2CC34356" w14:textId="77777777">
      <w:pPr>
        <w:pBdr/>
        <w:spacing/>
        <w:ind/>
        <w:jc w:val="both"/>
        <w:rPr>
          <w:rFonts w:ascii="Arial" w:hAnsi="Arial" w:eastAsia="Arial" w:cs="Arial"/>
          <w:color w:val="000000"/>
        </w:rPr>
      </w:pPr>
      <w:r>
        <w:rPr>
          <w:rFonts w:ascii="Arial" w:hAnsi="Arial" w:eastAsia="Arial" w:cs="Arial"/>
          <w:b/>
          <w:i/>
          <w:color w:val="000000"/>
        </w:rPr>
        <w:t xml:space="preserve">2.2. </w:t>
      </w:r>
      <w:r>
        <w:rPr>
          <w:rFonts w:ascii="Arial" w:hAnsi="Arial" w:eastAsia="Arial" w:cs="Arial"/>
          <w:color w:val="000000"/>
        </w:rPr>
        <w:t xml:space="preserve">A presente licitação será realizada em </w:t>
      </w:r>
      <w:r>
        <w:rPr>
          <w:rFonts w:ascii="Arial" w:hAnsi="Arial" w:eastAsia="Arial" w:cs="Arial"/>
          <w:b/>
          <w:color w:val="000000"/>
        </w:rPr>
        <w:t xml:space="preserve">lote único</w:t>
      </w:r>
      <w:r>
        <w:rPr>
          <w:rFonts w:ascii="Arial" w:hAnsi="Arial" w:eastAsia="Arial" w:cs="Arial"/>
          <w:color w:val="000000"/>
        </w:rPr>
        <w:t xml:space="preserve">, composto por diversos itens relacionados abaixo, no Anexo na plataforma BLL, sitio da prefeitura de Rondonópolis e anexo modelo de proposta, será facultada a participação de qualquer licitante interessado, desde que apresente proposta contemplando </w:t>
      </w:r>
      <w:r>
        <w:rPr>
          <w:rFonts w:ascii="Arial" w:hAnsi="Arial" w:eastAsia="Arial" w:cs="Arial"/>
          <w:b/>
          <w:color w:val="000000"/>
        </w:rPr>
        <w:t xml:space="preserve">integralmente todos os itens</w:t>
      </w:r>
      <w:r>
        <w:rPr>
          <w:rFonts w:ascii="Arial" w:hAnsi="Arial" w:eastAsia="Arial" w:cs="Arial"/>
          <w:color w:val="000000"/>
        </w:rPr>
        <w:t xml:space="preserve"> que compõem o referido lote.</w:t>
      </w:r>
      <w:r>
        <w:rPr>
          <w:rFonts w:ascii="Arial" w:hAnsi="Arial" w:eastAsia="Arial" w:cs="Arial"/>
          <w:color w:val="000000"/>
        </w:rPr>
      </w:r>
    </w:p>
    <w:p w14:paraId="59FB0193" w14:textId="77777777">
      <w:pPr>
        <w:pBdr/>
        <w:spacing/>
        <w:ind/>
        <w:jc w:val="both"/>
        <w:rPr>
          <w:rFonts w:ascii="Arial" w:hAnsi="Arial" w:eastAsia="Arial" w:cs="Arial"/>
          <w:color w:val="000000"/>
        </w:rPr>
      </w:pPr>
      <w:r>
        <w:rPr>
          <w:rFonts w:ascii="Arial" w:hAnsi="Arial" w:eastAsia="Arial" w:cs="Arial"/>
          <w:color w:val="000000"/>
        </w:rPr>
      </w:r>
      <w:r>
        <w:rPr>
          <w:rFonts w:ascii="Arial" w:hAnsi="Arial" w:eastAsia="Arial" w:cs="Arial"/>
          <w:color w:val="000000"/>
        </w:rPr>
      </w:r>
    </w:p>
    <w:p w14:paraId="0D783B3F" w14:textId="77777777">
      <w:pPr>
        <w:pBdr/>
        <w:spacing/>
        <w:ind/>
        <w:jc w:val="both"/>
        <w:rPr>
          <w:rFonts w:ascii="Arial" w:hAnsi="Arial" w:eastAsia="Arial" w:cs="Arial"/>
          <w:color w:val="000000"/>
        </w:rPr>
      </w:pPr>
      <w:r>
        <w:rPr>
          <w:rFonts w:ascii="Arial" w:hAnsi="Arial" w:eastAsia="Arial" w:cs="Arial"/>
          <w:b/>
          <w:color w:val="000000"/>
        </w:rPr>
        <w:t xml:space="preserve">2.2.1.</w:t>
      </w:r>
      <w:r>
        <w:rPr>
          <w:rFonts w:ascii="Arial" w:hAnsi="Arial" w:eastAsia="Arial" w:cs="Arial"/>
          <w:color w:val="000000"/>
        </w:rPr>
        <w:t xml:space="preserve"> Não serão aceitas propostas parciais, ou seja, o licitante deverá obrigatoriamente ofertar preços e condições para </w:t>
      </w:r>
      <w:r>
        <w:rPr>
          <w:rFonts w:ascii="Arial" w:hAnsi="Arial" w:eastAsia="Arial" w:cs="Arial"/>
          <w:b/>
          <w:color w:val="000000"/>
        </w:rPr>
        <w:t xml:space="preserve">todos os itens do lote</w:t>
      </w:r>
      <w:r>
        <w:rPr>
          <w:rFonts w:ascii="Arial" w:hAnsi="Arial" w:eastAsia="Arial" w:cs="Arial"/>
          <w:color w:val="000000"/>
        </w:rPr>
        <w:t xml:space="preserve">, sob pena de desclassificação. A adjudicação será feita </w:t>
      </w:r>
      <w:r>
        <w:rPr>
          <w:rFonts w:ascii="Arial" w:hAnsi="Arial" w:eastAsia="Arial" w:cs="Arial"/>
          <w:b/>
          <w:color w:val="000000"/>
        </w:rPr>
        <w:t xml:space="preserve">pelo conjunto do lote</w:t>
      </w:r>
      <w:r>
        <w:rPr>
          <w:rFonts w:ascii="Arial" w:hAnsi="Arial" w:eastAsia="Arial" w:cs="Arial"/>
          <w:color w:val="000000"/>
        </w:rPr>
        <w:t xml:space="preserve">, observada a proposta mais vantajosa para a Administração, nos termos da legislação vigente.</w:t>
      </w:r>
      <w:r>
        <w:rPr>
          <w:rFonts w:ascii="Arial" w:hAnsi="Arial" w:eastAsia="Arial" w:cs="Arial"/>
          <w:color w:val="000000"/>
        </w:rPr>
      </w:r>
    </w:p>
    <w:p w14:paraId="5885A75E" w14:textId="77777777">
      <w:pPr>
        <w:pBdr/>
        <w:spacing/>
        <w:ind/>
        <w:jc w:val="both"/>
        <w:rPr>
          <w:rFonts w:ascii="Arial" w:hAnsi="Arial" w:eastAsia="Arial" w:cs="Arial"/>
          <w:color w:val="000000"/>
        </w:rPr>
      </w:pPr>
      <w:r>
        <w:rPr>
          <w:rFonts w:ascii="Arial" w:hAnsi="Arial" w:eastAsia="Arial" w:cs="Arial"/>
          <w:color w:val="000000"/>
        </w:rPr>
      </w:r>
      <w:r>
        <w:rPr>
          <w:rFonts w:ascii="Arial" w:hAnsi="Arial" w:eastAsia="Arial" w:cs="Arial"/>
          <w:color w:val="000000"/>
        </w:rPr>
      </w:r>
    </w:p>
    <w:p w14:paraId="1A72A5EE" w14:textId="77777777">
      <w:pPr>
        <w:pStyle w:val="1067"/>
        <w:pBdr/>
        <w:spacing/>
        <w:ind/>
        <w:jc w:val="both"/>
        <w:rPr>
          <w:rFonts w:eastAsia="Verdana"/>
          <w:sz w:val="20"/>
          <w:szCs w:val="20"/>
        </w:rPr>
      </w:pPr>
      <w:r>
        <w:rPr>
          <w:rFonts w:eastAsia="Verdana"/>
          <w:b/>
          <w:sz w:val="20"/>
          <w:szCs w:val="20"/>
        </w:rPr>
        <w:t xml:space="preserve">2.2.2</w:t>
      </w:r>
      <w:r>
        <w:rPr>
          <w:rFonts w:eastAsia="Verdana"/>
          <w:sz w:val="20"/>
          <w:szCs w:val="20"/>
        </w:rPr>
        <w:t xml:space="preserve"> Os itens que compõe o lote único que serão contratados, quantidades, especificações e os valores estimados estão descritos no quadro abaixo: </w:t>
      </w:r>
      <w:r>
        <w:rPr>
          <w:rFonts w:eastAsia="Verdana"/>
          <w:sz w:val="20"/>
          <w:szCs w:val="20"/>
        </w:rPr>
      </w:r>
    </w:p>
    <w:p w14:paraId="3B545AB3" w14:textId="77777777">
      <w:pPr>
        <w:pStyle w:val="1067"/>
        <w:pBdr/>
        <w:spacing/>
        <w:ind/>
        <w:jc w:val="both"/>
        <w:rPr>
          <w:rFonts w:eastAsia="Verdana"/>
          <w:sz w:val="20"/>
          <w:szCs w:val="20"/>
        </w:rPr>
      </w:pPr>
      <w:r>
        <w:rPr>
          <w:rFonts w:eastAsia="Verdana"/>
          <w:sz w:val="20"/>
          <w:szCs w:val="20"/>
        </w:rPr>
      </w:r>
      <w:r>
        <w:rPr>
          <w:rFonts w:eastAsia="Verdana"/>
          <w:sz w:val="20"/>
          <w:szCs w:val="20"/>
        </w:rPr>
      </w:r>
    </w:p>
    <w:tbl>
      <w:tblPr>
        <w:tblW w:w="0" w:type="auto"/>
        <w:tblCellMar>
          <w:left w:w="15" w:type="dxa"/>
          <w:top w:w="15" w:type="dxa"/>
          <w:right w:w="15" w:type="dxa"/>
          <w:bottom w:w="15" w:type="dxa"/>
        </w:tblCellMar>
        <w:tblBorders/>
        <w:tblCellSpacing w:w="0" w:type="dxa"/>
        <w:tblLook w:val="04A0" w:firstRow="1" w:lastRow="0" w:firstColumn="1" w:lastColumn="0" w:noHBand="0" w:noVBand="1"/>
      </w:tblPr>
      <w:tblGrid>
        <w:gridCol w:w="588"/>
        <w:gridCol w:w="771"/>
        <w:gridCol w:w="694"/>
        <w:gridCol w:w="2427"/>
        <w:gridCol w:w="784"/>
        <w:gridCol w:w="686"/>
        <w:gridCol w:w="704"/>
        <w:gridCol w:w="760"/>
        <w:gridCol w:w="819"/>
        <w:gridCol w:w="924"/>
        <w:gridCol w:w="896"/>
      </w:tblGrid>
      <w:tr>
        <w:trPr>
          <w:tblCellSpacing w:w="0" w:type="dxa"/>
          <w:trHeight w:val="463"/>
        </w:trPr>
        <w:tc>
          <w:tcPr>
            <w:shd w:val="clear" w:color="auto" w:fill="bfbfbf"/>
            <w:tcBorders>
              <w:top w:val="single" w:color="000000" w:sz="4" w:space="0"/>
              <w:left w:val="single" w:color="000000" w:sz="6" w:space="0"/>
              <w:bottom w:val="single" w:color="000000" w:sz="4" w:space="0"/>
              <w:right w:val="single" w:color="000000" w:sz="4" w:space="0"/>
            </w:tcBorders>
            <w:tcMar>
              <w:left w:w="108" w:type="dxa"/>
              <w:top w:w="0" w:type="dxa"/>
              <w:right w:w="108" w:type="dxa"/>
              <w:bottom w:w="0" w:type="dxa"/>
            </w:tcMar>
            <w:tcW w:w="425" w:type="dxa"/>
            <w:vAlign w:val="center"/>
            <w:textDirection w:val="lrTb"/>
            <w:noWrap w:val="false"/>
          </w:tcPr>
          <w:p w14:paraId="2E286A8E" w14:textId="77777777">
            <w:pPr>
              <w:pBdr/>
              <w:spacing/>
              <w:ind/>
              <w:jc w:val="center"/>
              <w:rPr>
                <w:sz w:val="24"/>
                <w:szCs w:val="24"/>
                <w:lang w:eastAsia="pt-BR"/>
              </w:rPr>
            </w:pPr>
            <w:r>
              <w:rPr>
                <w:b/>
                <w:bCs/>
                <w:color w:val="000000"/>
                <w:sz w:val="13"/>
                <w:szCs w:val="13"/>
                <w:lang w:eastAsia="pt-BR"/>
              </w:rPr>
              <w:t xml:space="preserve">ITEM</w:t>
            </w:r>
            <w:r>
              <w:rPr>
                <w:sz w:val="24"/>
                <w:szCs w:val="24"/>
                <w:lang w:eastAsia="pt-BR"/>
              </w:rPr>
            </w:r>
          </w:p>
        </w:tc>
        <w:tc>
          <w:tcPr>
            <w:shd w:val="clear" w:color="auto" w:fill="bfbfb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86" w:type="dxa"/>
            <w:vAlign w:val="center"/>
            <w:textDirection w:val="lrTb"/>
            <w:noWrap w:val="false"/>
          </w:tcPr>
          <w:p w14:paraId="5F8CA825" w14:textId="77777777">
            <w:pPr>
              <w:pBdr/>
              <w:spacing/>
              <w:ind/>
              <w:jc w:val="center"/>
              <w:rPr>
                <w:sz w:val="24"/>
                <w:szCs w:val="24"/>
                <w:lang w:eastAsia="pt-BR"/>
              </w:rPr>
            </w:pPr>
            <w:r>
              <w:rPr>
                <w:b/>
                <w:bCs/>
                <w:color w:val="000000"/>
                <w:sz w:val="13"/>
                <w:szCs w:val="13"/>
                <w:lang w:eastAsia="pt-BR"/>
              </w:rPr>
              <w:t xml:space="preserve">CÓDIGO TCE</w:t>
            </w:r>
            <w:r>
              <w:rPr>
                <w:sz w:val="24"/>
                <w:szCs w:val="24"/>
                <w:lang w:eastAsia="pt-BR"/>
              </w:rPr>
            </w:r>
          </w:p>
        </w:tc>
        <w:tc>
          <w:tcPr>
            <w:shd w:val="clear" w:color="auto" w:fill="bfbfb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697" w:type="dxa"/>
            <w:vAlign w:val="center"/>
            <w:textDirection w:val="lrTb"/>
            <w:noWrap w:val="false"/>
          </w:tcPr>
          <w:p w14:paraId="321B7620" w14:textId="77777777">
            <w:pPr>
              <w:pBdr/>
              <w:spacing/>
              <w:ind/>
              <w:jc w:val="center"/>
              <w:rPr>
                <w:sz w:val="24"/>
                <w:szCs w:val="24"/>
                <w:lang w:eastAsia="pt-BR"/>
              </w:rPr>
            </w:pPr>
            <w:r>
              <w:rPr>
                <w:b/>
                <w:bCs/>
                <w:color w:val="000000"/>
                <w:sz w:val="13"/>
                <w:szCs w:val="13"/>
                <w:lang w:eastAsia="pt-BR"/>
              </w:rPr>
              <w:t xml:space="preserve">CODIGO AGILI</w:t>
            </w:r>
            <w:r>
              <w:rPr>
                <w:sz w:val="24"/>
                <w:szCs w:val="24"/>
                <w:lang w:eastAsia="pt-BR"/>
              </w:rPr>
            </w:r>
          </w:p>
        </w:tc>
        <w:tc>
          <w:tcPr>
            <w:shd w:val="clear" w:color="auto" w:fill="bfbfb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082" w:type="dxa"/>
            <w:vAlign w:val="center"/>
            <w:textDirection w:val="lrTb"/>
            <w:noWrap w:val="false"/>
          </w:tcPr>
          <w:p w14:paraId="628F6591" w14:textId="77777777">
            <w:pPr>
              <w:pBdr/>
              <w:spacing/>
              <w:ind/>
              <w:jc w:val="center"/>
              <w:rPr>
                <w:sz w:val="24"/>
                <w:szCs w:val="24"/>
                <w:lang w:eastAsia="pt-BR"/>
              </w:rPr>
            </w:pPr>
            <w:r>
              <w:rPr>
                <w:b/>
                <w:bCs/>
                <w:color w:val="000000"/>
                <w:sz w:val="13"/>
                <w:szCs w:val="13"/>
                <w:lang w:eastAsia="pt-BR"/>
              </w:rPr>
              <w:t xml:space="preserve">DESCRIÇÃO</w:t>
            </w:r>
            <w:r>
              <w:rPr>
                <w:sz w:val="24"/>
                <w:szCs w:val="24"/>
                <w:lang w:eastAsia="pt-BR"/>
              </w:rPr>
            </w:r>
          </w:p>
        </w:tc>
        <w:tc>
          <w:tcPr>
            <w:shd w:val="clear" w:color="auto" w:fill="bfbfb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900" w:type="dxa"/>
            <w:vAlign w:val="center"/>
            <w:textDirection w:val="lrTb"/>
            <w:noWrap w:val="false"/>
          </w:tcPr>
          <w:p w14:paraId="32385181" w14:textId="77777777">
            <w:pPr>
              <w:pBdr/>
              <w:spacing/>
              <w:ind/>
              <w:jc w:val="center"/>
              <w:rPr>
                <w:sz w:val="24"/>
                <w:szCs w:val="24"/>
                <w:lang w:eastAsia="pt-BR"/>
              </w:rPr>
            </w:pPr>
            <w:r>
              <w:rPr>
                <w:b/>
                <w:bCs/>
                <w:color w:val="000000"/>
                <w:sz w:val="13"/>
                <w:szCs w:val="13"/>
                <w:lang w:eastAsia="pt-BR"/>
              </w:rPr>
              <w:t xml:space="preserve">UN</w:t>
            </w:r>
            <w:r>
              <w:rPr>
                <w:sz w:val="24"/>
                <w:szCs w:val="24"/>
                <w:lang w:eastAsia="pt-BR"/>
              </w:rPr>
            </w:r>
          </w:p>
          <w:p w14:paraId="359B95EF" w14:textId="77777777">
            <w:pPr>
              <w:pBdr/>
              <w:spacing/>
              <w:ind/>
              <w:jc w:val="center"/>
              <w:rPr>
                <w:sz w:val="24"/>
                <w:szCs w:val="24"/>
                <w:lang w:eastAsia="pt-BR"/>
              </w:rPr>
            </w:pPr>
            <w:r>
              <w:rPr>
                <w:sz w:val="24"/>
                <w:szCs w:val="24"/>
                <w:lang w:eastAsia="pt-BR"/>
              </w:rPr>
              <w:t xml:space="preserve"> </w:t>
            </w:r>
            <w:r>
              <w:rPr>
                <w:sz w:val="24"/>
                <w:szCs w:val="24"/>
                <w:lang w:eastAsia="pt-BR"/>
              </w:rPr>
            </w:r>
          </w:p>
        </w:tc>
        <w:tc>
          <w:tcPr>
            <w:shd w:val="clear" w:color="auto" w:fill="bfbfb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31" w:type="dxa"/>
            <w:vAlign w:val="center"/>
            <w:textDirection w:val="lrTb"/>
            <w:noWrap w:val="false"/>
          </w:tcPr>
          <w:p w14:paraId="2CD3C406" w14:textId="77777777">
            <w:pPr>
              <w:pBdr/>
              <w:spacing/>
              <w:ind/>
              <w:jc w:val="center"/>
              <w:rPr>
                <w:sz w:val="24"/>
                <w:szCs w:val="24"/>
                <w:lang w:eastAsia="pt-BR"/>
              </w:rPr>
            </w:pPr>
            <w:r>
              <w:rPr>
                <w:b/>
                <w:bCs/>
                <w:color w:val="000000"/>
                <w:sz w:val="13"/>
                <w:szCs w:val="13"/>
                <w:lang w:eastAsia="pt-BR"/>
              </w:rPr>
              <w:t xml:space="preserve">QTDE</w:t>
            </w:r>
            <w:r>
              <w:rPr>
                <w:sz w:val="24"/>
                <w:szCs w:val="24"/>
                <w:lang w:eastAsia="pt-BR"/>
              </w:rPr>
            </w:r>
          </w:p>
        </w:tc>
        <w:tc>
          <w:tcPr>
            <w:shd w:val="clear" w:color="auto" w:fill="bfbfb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10" w:type="dxa"/>
            <w:vAlign w:val="center"/>
            <w:textDirection w:val="lrTb"/>
            <w:noWrap w:val="false"/>
          </w:tcPr>
          <w:p w14:paraId="5313D79F" w14:textId="77777777">
            <w:pPr>
              <w:pBdr/>
              <w:spacing/>
              <w:ind/>
              <w:jc w:val="center"/>
              <w:rPr>
                <w:sz w:val="24"/>
                <w:szCs w:val="24"/>
                <w:lang w:eastAsia="pt-BR"/>
              </w:rPr>
            </w:pPr>
            <w:r>
              <w:rPr>
                <w:b/>
                <w:bCs/>
                <w:color w:val="000000"/>
                <w:sz w:val="13"/>
                <w:szCs w:val="13"/>
                <w:lang w:eastAsia="pt-BR"/>
              </w:rPr>
              <w:t xml:space="preserve">COTAÇÃO 1 Publica</w:t>
            </w:r>
            <w:r>
              <w:rPr>
                <w:sz w:val="24"/>
                <w:szCs w:val="24"/>
                <w:lang w:eastAsia="pt-BR"/>
              </w:rPr>
            </w:r>
          </w:p>
        </w:tc>
        <w:tc>
          <w:tcPr>
            <w:shd w:val="clear" w:color="auto" w:fill="bfbfb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90" w:type="dxa"/>
            <w:vAlign w:val="center"/>
            <w:textDirection w:val="lrTb"/>
            <w:noWrap w:val="false"/>
          </w:tcPr>
          <w:p w14:paraId="3B43C681" w14:textId="77777777">
            <w:pPr>
              <w:pBdr/>
              <w:spacing/>
              <w:ind/>
              <w:jc w:val="center"/>
              <w:rPr>
                <w:sz w:val="24"/>
                <w:szCs w:val="24"/>
                <w:lang w:eastAsia="pt-BR"/>
              </w:rPr>
            </w:pPr>
            <w:r>
              <w:rPr>
                <w:b/>
                <w:bCs/>
                <w:color w:val="000000"/>
                <w:sz w:val="13"/>
                <w:szCs w:val="13"/>
                <w:lang w:eastAsia="pt-BR"/>
              </w:rPr>
              <w:t xml:space="preserve">COTAÇÃO 2 Publica</w:t>
            </w:r>
            <w:r>
              <w:rPr>
                <w:sz w:val="24"/>
                <w:szCs w:val="24"/>
                <w:lang w:eastAsia="pt-BR"/>
              </w:rPr>
            </w:r>
          </w:p>
        </w:tc>
        <w:tc>
          <w:tcPr>
            <w:shd w:val="clear" w:color="auto" w:fill="bfbfb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873" w:type="dxa"/>
            <w:vAlign w:val="center"/>
            <w:textDirection w:val="lrTb"/>
            <w:noWrap w:val="false"/>
          </w:tcPr>
          <w:p w14:paraId="3223113D" w14:textId="77777777">
            <w:pPr>
              <w:pBdr/>
              <w:spacing/>
              <w:ind/>
              <w:jc w:val="center"/>
              <w:rPr>
                <w:sz w:val="24"/>
                <w:szCs w:val="24"/>
                <w:lang w:eastAsia="pt-BR"/>
              </w:rPr>
            </w:pPr>
            <w:r>
              <w:rPr>
                <w:b/>
                <w:bCs/>
                <w:color w:val="000000"/>
                <w:sz w:val="13"/>
                <w:szCs w:val="13"/>
                <w:lang w:eastAsia="pt-BR"/>
              </w:rPr>
              <w:t xml:space="preserve">COTAÇÃO 3 Privado</w:t>
            </w:r>
            <w:r>
              <w:rPr>
                <w:sz w:val="24"/>
                <w:szCs w:val="24"/>
                <w:lang w:eastAsia="pt-BR"/>
              </w:rPr>
            </w:r>
          </w:p>
        </w:tc>
        <w:tc>
          <w:tcPr>
            <w:shd w:val="clear" w:color="auto" w:fill="bfbfb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968" w:type="dxa"/>
            <w:vAlign w:val="center"/>
            <w:textDirection w:val="lrTb"/>
            <w:noWrap w:val="false"/>
          </w:tcPr>
          <w:p w14:paraId="06592ADA" w14:textId="77777777">
            <w:pPr>
              <w:pBdr/>
              <w:spacing/>
              <w:ind/>
              <w:jc w:val="center"/>
              <w:rPr>
                <w:sz w:val="24"/>
                <w:szCs w:val="24"/>
                <w:lang w:eastAsia="pt-BR"/>
              </w:rPr>
            </w:pPr>
            <w:r>
              <w:rPr>
                <w:b/>
                <w:bCs/>
                <w:color w:val="000000"/>
                <w:sz w:val="13"/>
                <w:szCs w:val="13"/>
                <w:lang w:eastAsia="pt-BR"/>
              </w:rPr>
              <w:t xml:space="preserve">MÉDIA</w:t>
            </w:r>
            <w:r>
              <w:rPr>
                <w:sz w:val="24"/>
                <w:szCs w:val="24"/>
                <w:lang w:eastAsia="pt-BR"/>
              </w:rPr>
            </w:r>
          </w:p>
        </w:tc>
        <w:tc>
          <w:tcPr>
            <w:shd w:val="clear" w:color="auto" w:fill="bfbfb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928" w:type="dxa"/>
            <w:vAlign w:val="center"/>
            <w:textDirection w:val="lrTb"/>
            <w:noWrap w:val="false"/>
          </w:tcPr>
          <w:p w14:paraId="25CDB0EF" w14:textId="77777777">
            <w:pPr>
              <w:pBdr/>
              <w:spacing/>
              <w:ind/>
              <w:jc w:val="center"/>
              <w:rPr>
                <w:sz w:val="24"/>
                <w:szCs w:val="24"/>
                <w:lang w:eastAsia="pt-BR"/>
              </w:rPr>
            </w:pPr>
            <w:r>
              <w:rPr>
                <w:b/>
                <w:bCs/>
                <w:color w:val="000000"/>
                <w:sz w:val="13"/>
                <w:szCs w:val="13"/>
                <w:lang w:eastAsia="pt-BR"/>
              </w:rPr>
              <w:t xml:space="preserve">VALOR TOTAL</w:t>
            </w:r>
            <w:r>
              <w:rPr>
                <w:sz w:val="24"/>
                <w:szCs w:val="24"/>
                <w:lang w:eastAsia="pt-BR"/>
              </w:rPr>
            </w:r>
          </w:p>
        </w:tc>
      </w:tr>
      <w:tr>
        <w:trPr>
          <w:tblCellSpacing w:w="0" w:type="dxa"/>
          <w:trHeight w:val="410"/>
        </w:trPr>
        <w:tc>
          <w:tcPr>
            <w:shd w:val="clear" w:color="auto" w:fill="fffff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425" w:type="dxa"/>
            <w:vAlign w:val="center"/>
            <w:textDirection w:val="lrTb"/>
            <w:noWrap w:val="false"/>
          </w:tcPr>
          <w:p w14:paraId="09EA7233" w14:textId="77777777">
            <w:pPr>
              <w:pBdr/>
              <w:shd w:val="clear" w:color="auto" w:fill="ffffff"/>
              <w:spacing/>
              <w:ind/>
              <w:jc w:val="center"/>
              <w:rPr>
                <w:sz w:val="24"/>
                <w:szCs w:val="24"/>
                <w:lang w:eastAsia="pt-BR"/>
              </w:rPr>
            </w:pPr>
            <w:r>
              <w:rPr>
                <w:color w:val="000000"/>
                <w:sz w:val="15"/>
                <w:szCs w:val="15"/>
                <w:lang w:eastAsia="pt-BR"/>
              </w:rPr>
              <w:t xml:space="preserve">1</w:t>
            </w:r>
            <w:r>
              <w:rPr>
                <w:sz w:val="24"/>
                <w:szCs w:val="24"/>
                <w:lang w:eastAsia="pt-BR"/>
              </w:rPr>
            </w:r>
          </w:p>
        </w:tc>
        <w:tc>
          <w:tcPr>
            <w:shd w:val="clear" w:color="auto" w:fill="fffff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86" w:type="dxa"/>
            <w:vAlign w:val="center"/>
            <w:textDirection w:val="lrTb"/>
            <w:noWrap w:val="false"/>
          </w:tcPr>
          <w:p w14:paraId="022BBAF7" w14:textId="77777777">
            <w:pPr>
              <w:pBdr/>
              <w:spacing/>
              <w:ind/>
              <w:jc w:val="center"/>
              <w:rPr>
                <w:sz w:val="24"/>
                <w:szCs w:val="24"/>
                <w:lang w:eastAsia="pt-BR"/>
              </w:rPr>
            </w:pPr>
            <w:r>
              <w:rPr>
                <w:color w:val="000000"/>
                <w:sz w:val="15"/>
                <w:szCs w:val="15"/>
                <w:lang w:eastAsia="pt-BR"/>
              </w:rPr>
              <w:t xml:space="preserve">417167-5 </w:t>
            </w:r>
            <w:r>
              <w:rPr>
                <w:sz w:val="24"/>
                <w:szCs w:val="24"/>
                <w:lang w:eastAsia="pt-BR"/>
              </w:rPr>
            </w:r>
          </w:p>
        </w:tc>
        <w:tc>
          <w:tcPr>
            <w:shd w:val="clear" w:color="auto" w:fill="fffff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697" w:type="dxa"/>
            <w:vAlign w:val="center"/>
            <w:textDirection w:val="lrTb"/>
            <w:noWrap w:val="false"/>
          </w:tcPr>
          <w:p w14:paraId="62B03E31" w14:textId="77777777">
            <w:pPr>
              <w:pBdr/>
              <w:spacing/>
              <w:ind/>
              <w:jc w:val="center"/>
              <w:rPr>
                <w:sz w:val="24"/>
                <w:szCs w:val="24"/>
                <w:lang w:eastAsia="pt-BR"/>
              </w:rPr>
            </w:pPr>
            <w:r>
              <w:rPr>
                <w:color w:val="000000"/>
                <w:sz w:val="15"/>
                <w:szCs w:val="15"/>
                <w:lang w:eastAsia="pt-BR"/>
              </w:rPr>
              <w:t xml:space="preserve">129334</w:t>
            </w:r>
            <w:r>
              <w:rPr>
                <w:sz w:val="24"/>
                <w:szCs w:val="24"/>
                <w:lang w:eastAsia="pt-BR"/>
              </w:rPr>
            </w:r>
          </w:p>
        </w:tc>
        <w:tc>
          <w:tcPr>
            <w:shd w:val="clear" w:color="auto" w:fill="fffff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082" w:type="dxa"/>
            <w:vAlign w:val="center"/>
            <w:textDirection w:val="lrTb"/>
            <w:noWrap w:val="false"/>
          </w:tcPr>
          <w:p w14:paraId="1E4EBAF1" w14:textId="77777777">
            <w:pPr>
              <w:pBdr/>
              <w:spacing/>
              <w:ind/>
              <w:rPr>
                <w:sz w:val="24"/>
                <w:szCs w:val="24"/>
                <w:lang w:eastAsia="pt-BR"/>
              </w:rPr>
            </w:pPr>
            <w:r>
              <w:rPr>
                <w:color w:val="000000"/>
                <w:sz w:val="15"/>
                <w:szCs w:val="15"/>
                <w:lang w:eastAsia="pt-BR"/>
              </w:rPr>
              <w:t xml:space="preserve">SERVIÇO DE TANATOPRAXIA - ADULTO. CONFORME TERMO DE REFERÊNCIA.</w:t>
            </w:r>
            <w:r>
              <w:rPr>
                <w:sz w:val="24"/>
                <w:szCs w:val="24"/>
                <w:lang w:eastAsia="pt-BR"/>
              </w:rPr>
            </w:r>
          </w:p>
        </w:tc>
        <w:tc>
          <w:tcPr>
            <w:shd w:val="clear" w:color="auto" w:fill="fffff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900" w:type="dxa"/>
            <w:vAlign w:val="center"/>
            <w:textDirection w:val="lrTb"/>
            <w:noWrap w:val="false"/>
          </w:tcPr>
          <w:p w14:paraId="4D667190" w14:textId="77777777">
            <w:pPr>
              <w:pBdr/>
              <w:spacing/>
              <w:ind/>
              <w:jc w:val="center"/>
              <w:rPr>
                <w:sz w:val="24"/>
                <w:szCs w:val="24"/>
                <w:lang w:eastAsia="pt-BR"/>
              </w:rPr>
            </w:pPr>
            <w:r>
              <w:rPr>
                <w:color w:val="000000"/>
                <w:sz w:val="13"/>
                <w:szCs w:val="13"/>
                <w:lang w:eastAsia="pt-BR"/>
              </w:rPr>
              <w:t xml:space="preserve">UN </w:t>
            </w:r>
            <w:r>
              <w:rPr>
                <w:sz w:val="24"/>
                <w:szCs w:val="24"/>
                <w:lang w:eastAsia="pt-BR"/>
              </w:rPr>
            </w:r>
          </w:p>
        </w:tc>
        <w:tc>
          <w:tcPr>
            <w:shd w:val="clear" w:color="auto" w:fill="fffff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31" w:type="dxa"/>
            <w:vAlign w:val="center"/>
            <w:textDirection w:val="lrTb"/>
            <w:noWrap w:val="false"/>
          </w:tcPr>
          <w:p w14:paraId="6E1F7C20" w14:textId="77777777">
            <w:pPr>
              <w:pBdr/>
              <w:spacing/>
              <w:ind/>
              <w:jc w:val="center"/>
              <w:rPr>
                <w:sz w:val="24"/>
                <w:szCs w:val="24"/>
                <w:lang w:eastAsia="pt-BR"/>
              </w:rPr>
            </w:pPr>
            <w:r>
              <w:rPr>
                <w:color w:val="000000"/>
                <w:sz w:val="15"/>
                <w:szCs w:val="15"/>
                <w:lang w:eastAsia="pt-BR"/>
              </w:rPr>
              <w:t xml:space="preserve">60</w:t>
            </w:r>
            <w:r>
              <w:rPr>
                <w:sz w:val="24"/>
                <w:szCs w:val="24"/>
                <w:lang w:eastAsia="pt-BR"/>
              </w:rPr>
            </w:r>
          </w:p>
        </w:tc>
        <w:tc>
          <w:tcPr>
            <w:shd w:val="clear" w:color="auto" w:fill="fffff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10" w:type="dxa"/>
            <w:vAlign w:val="center"/>
            <w:textDirection w:val="lrTb"/>
            <w:noWrap w:val="false"/>
          </w:tcPr>
          <w:p w14:paraId="48E9B729" w14:textId="77777777">
            <w:pPr>
              <w:pBdr/>
              <w:spacing/>
              <w:ind/>
              <w:jc w:val="center"/>
              <w:rPr>
                <w:sz w:val="24"/>
                <w:szCs w:val="24"/>
                <w:lang w:eastAsia="pt-BR"/>
              </w:rPr>
            </w:pPr>
            <w:r>
              <w:rPr>
                <w:color w:val="000000"/>
                <w:sz w:val="13"/>
                <w:szCs w:val="13"/>
                <w:lang w:eastAsia="pt-BR"/>
              </w:rPr>
              <w:t xml:space="preserve">R$ 2.105,73</w:t>
            </w:r>
            <w:r>
              <w:rPr>
                <w:sz w:val="24"/>
                <w:szCs w:val="24"/>
                <w:lang w:eastAsia="pt-BR"/>
              </w:rPr>
            </w:r>
          </w:p>
        </w:tc>
        <w:tc>
          <w:tcPr>
            <w:shd w:val="clear" w:color="auto" w:fill="fffff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90" w:type="dxa"/>
            <w:vAlign w:val="center"/>
            <w:textDirection w:val="lrTb"/>
            <w:noWrap w:val="false"/>
          </w:tcPr>
          <w:p w14:paraId="49246A26" w14:textId="77777777">
            <w:pPr>
              <w:pBdr/>
              <w:spacing/>
              <w:ind/>
              <w:jc w:val="center"/>
              <w:rPr>
                <w:sz w:val="24"/>
                <w:szCs w:val="24"/>
                <w:lang w:eastAsia="pt-BR"/>
              </w:rPr>
            </w:pPr>
            <w:r>
              <w:rPr>
                <w:color w:val="000000"/>
                <w:sz w:val="13"/>
                <w:szCs w:val="13"/>
                <w:lang w:eastAsia="pt-BR"/>
              </w:rPr>
              <w:t xml:space="preserve">R$ 2.128,66</w:t>
            </w:r>
            <w:r>
              <w:rPr>
                <w:sz w:val="24"/>
                <w:szCs w:val="24"/>
                <w:lang w:eastAsia="pt-BR"/>
              </w:rPr>
            </w:r>
          </w:p>
        </w:tc>
        <w:tc>
          <w:tcPr>
            <w:shd w:val="clear" w:color="auto" w:fill="fffff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873" w:type="dxa"/>
            <w:vAlign w:val="center"/>
            <w:textDirection w:val="lrTb"/>
            <w:noWrap w:val="false"/>
          </w:tcPr>
          <w:p w14:paraId="15090DDF" w14:textId="77777777">
            <w:pPr>
              <w:pBdr/>
              <w:spacing/>
              <w:ind/>
              <w:jc w:val="center"/>
              <w:rPr>
                <w:sz w:val="24"/>
                <w:szCs w:val="24"/>
                <w:lang w:eastAsia="pt-BR"/>
              </w:rPr>
            </w:pPr>
            <w:r>
              <w:rPr>
                <w:color w:val="000000"/>
                <w:sz w:val="13"/>
                <w:szCs w:val="13"/>
                <w:lang w:eastAsia="pt-BR"/>
              </w:rPr>
              <w:t xml:space="preserve">R$ 2.800,00</w:t>
            </w:r>
            <w:r>
              <w:rPr>
                <w:sz w:val="24"/>
                <w:szCs w:val="24"/>
                <w:lang w:eastAsia="pt-BR"/>
              </w:rPr>
            </w:r>
          </w:p>
        </w:tc>
        <w:tc>
          <w:tcPr>
            <w:shd w:val="clear" w:color="auto" w:fill="fffff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968" w:type="dxa"/>
            <w:vAlign w:val="center"/>
            <w:textDirection w:val="lrTb"/>
            <w:noWrap w:val="false"/>
          </w:tcPr>
          <w:p w14:paraId="1765E43A" w14:textId="77777777">
            <w:pPr>
              <w:pBdr/>
              <w:spacing/>
              <w:ind/>
              <w:jc w:val="center"/>
              <w:rPr>
                <w:sz w:val="24"/>
                <w:szCs w:val="24"/>
                <w:lang w:eastAsia="pt-BR"/>
              </w:rPr>
            </w:pPr>
            <w:r>
              <w:rPr>
                <w:color w:val="000000"/>
                <w:sz w:val="13"/>
                <w:szCs w:val="13"/>
                <w:lang w:eastAsia="pt-BR"/>
              </w:rPr>
              <w:t xml:space="preserve">R$ 2.344,7966</w:t>
            </w:r>
            <w:r>
              <w:rPr>
                <w:sz w:val="24"/>
                <w:szCs w:val="24"/>
                <w:lang w:eastAsia="pt-BR"/>
              </w:rPr>
            </w:r>
          </w:p>
        </w:tc>
        <w:tc>
          <w:tcPr>
            <w:shd w:val="clear" w:color="auto" w:fill="fffff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928" w:type="dxa"/>
            <w:vAlign w:val="center"/>
            <w:textDirection w:val="lrTb"/>
            <w:noWrap w:val="false"/>
          </w:tcPr>
          <w:p w14:paraId="3AF15219" w14:textId="77777777">
            <w:pPr>
              <w:pBdr/>
              <w:spacing/>
              <w:ind/>
              <w:jc w:val="center"/>
              <w:rPr>
                <w:sz w:val="24"/>
                <w:szCs w:val="24"/>
                <w:lang w:eastAsia="pt-BR"/>
              </w:rPr>
            </w:pPr>
            <w:r>
              <w:rPr>
                <w:color w:val="000000"/>
                <w:sz w:val="13"/>
                <w:szCs w:val="13"/>
                <w:lang w:eastAsia="pt-BR"/>
              </w:rPr>
              <w:t xml:space="preserve">R$ 140.687,80</w:t>
            </w:r>
            <w:r>
              <w:rPr>
                <w:sz w:val="24"/>
                <w:szCs w:val="24"/>
                <w:lang w:eastAsia="pt-BR"/>
              </w:rPr>
            </w:r>
          </w:p>
        </w:tc>
      </w:tr>
      <w:tr>
        <w:trPr>
          <w:tblCellSpacing w:w="0" w:type="dxa"/>
          <w:trHeight w:val="448"/>
        </w:trPr>
        <w:tc>
          <w:tcPr>
            <w:shd w:val="clear" w:color="auto" w:fill="fffff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425" w:type="dxa"/>
            <w:vAlign w:val="center"/>
            <w:textDirection w:val="lrTb"/>
            <w:noWrap w:val="false"/>
          </w:tcPr>
          <w:p w14:paraId="04385B84" w14:textId="77777777">
            <w:pPr>
              <w:pBdr/>
              <w:shd w:val="clear" w:color="auto" w:fill="ffffff"/>
              <w:spacing/>
              <w:ind/>
              <w:jc w:val="center"/>
              <w:rPr>
                <w:sz w:val="24"/>
                <w:szCs w:val="24"/>
                <w:lang w:eastAsia="pt-BR"/>
              </w:rPr>
            </w:pPr>
            <w:r>
              <w:rPr>
                <w:color w:val="000000"/>
                <w:sz w:val="15"/>
                <w:szCs w:val="15"/>
                <w:lang w:eastAsia="pt-BR"/>
              </w:rPr>
              <w:t xml:space="preserve">2</w:t>
            </w:r>
            <w:r>
              <w:rPr>
                <w:sz w:val="24"/>
                <w:szCs w:val="24"/>
                <w:lang w:eastAsia="pt-BR"/>
              </w:rPr>
            </w:r>
          </w:p>
        </w:tc>
        <w:tc>
          <w:tcPr>
            <w:shd w:val="clear" w:color="auto" w:fill="fffff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86" w:type="dxa"/>
            <w:vAlign w:val="center"/>
            <w:textDirection w:val="lrTb"/>
            <w:noWrap w:val="false"/>
          </w:tcPr>
          <w:p w14:paraId="011B8B7B" w14:textId="77777777">
            <w:pPr>
              <w:pBdr/>
              <w:spacing/>
              <w:ind/>
              <w:jc w:val="center"/>
              <w:rPr>
                <w:sz w:val="24"/>
                <w:szCs w:val="24"/>
                <w:lang w:eastAsia="pt-BR"/>
              </w:rPr>
            </w:pPr>
            <w:r>
              <w:rPr>
                <w:color w:val="000000"/>
                <w:sz w:val="15"/>
                <w:szCs w:val="15"/>
                <w:lang w:eastAsia="pt-BR"/>
              </w:rPr>
              <w:t xml:space="preserve">61539</w:t>
            </w:r>
            <w:r>
              <w:rPr>
                <w:sz w:val="24"/>
                <w:szCs w:val="24"/>
                <w:lang w:eastAsia="pt-BR"/>
              </w:rPr>
            </w:r>
          </w:p>
        </w:tc>
        <w:tc>
          <w:tcPr>
            <w:shd w:val="clear" w:color="auto" w:fill="fffff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697" w:type="dxa"/>
            <w:vAlign w:val="center"/>
            <w:textDirection w:val="lrTb"/>
            <w:noWrap w:val="false"/>
          </w:tcPr>
          <w:p w14:paraId="18C2ADD3" w14:textId="77777777">
            <w:pPr>
              <w:pBdr/>
              <w:spacing/>
              <w:ind/>
              <w:jc w:val="center"/>
              <w:rPr>
                <w:sz w:val="24"/>
                <w:szCs w:val="24"/>
                <w:lang w:eastAsia="pt-BR"/>
              </w:rPr>
            </w:pPr>
            <w:r>
              <w:rPr>
                <w:color w:val="000000"/>
                <w:sz w:val="15"/>
                <w:szCs w:val="15"/>
                <w:lang w:eastAsia="pt-BR"/>
              </w:rPr>
              <w:t xml:space="preserve">129335</w:t>
            </w:r>
            <w:r>
              <w:rPr>
                <w:sz w:val="24"/>
                <w:szCs w:val="24"/>
                <w:lang w:eastAsia="pt-BR"/>
              </w:rPr>
            </w:r>
          </w:p>
        </w:tc>
        <w:tc>
          <w:tcPr>
            <w:shd w:val="clear" w:color="auto" w:fill="fffff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082" w:type="dxa"/>
            <w:vAlign w:val="center"/>
            <w:textDirection w:val="lrTb"/>
            <w:noWrap w:val="false"/>
          </w:tcPr>
          <w:p w14:paraId="7F933DB5" w14:textId="77777777">
            <w:pPr>
              <w:pBdr/>
              <w:spacing/>
              <w:ind/>
              <w:rPr>
                <w:sz w:val="24"/>
                <w:szCs w:val="24"/>
                <w:lang w:eastAsia="pt-BR"/>
              </w:rPr>
            </w:pPr>
            <w:r>
              <w:rPr>
                <w:color w:val="000000"/>
                <w:sz w:val="15"/>
                <w:szCs w:val="15"/>
                <w:lang w:eastAsia="pt-BR"/>
              </w:rPr>
              <w:t xml:space="preserve">SERVIÇO DE TANATOPRAXIA - INFANTIL. CONFORME TERMO DE REFERÊNCIA.</w:t>
            </w:r>
            <w:r>
              <w:rPr>
                <w:sz w:val="24"/>
                <w:szCs w:val="24"/>
                <w:lang w:eastAsia="pt-BR"/>
              </w:rPr>
            </w:r>
          </w:p>
        </w:tc>
        <w:tc>
          <w:tcPr>
            <w:shd w:val="clear" w:color="auto" w:fill="fffff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900" w:type="dxa"/>
            <w:vAlign w:val="center"/>
            <w:textDirection w:val="lrTb"/>
            <w:noWrap w:val="false"/>
          </w:tcPr>
          <w:p w14:paraId="4EB34E17" w14:textId="77777777">
            <w:pPr>
              <w:pBdr/>
              <w:spacing/>
              <w:ind/>
              <w:jc w:val="center"/>
              <w:rPr>
                <w:sz w:val="24"/>
                <w:szCs w:val="24"/>
                <w:lang w:eastAsia="pt-BR"/>
              </w:rPr>
            </w:pPr>
            <w:r>
              <w:rPr>
                <w:color w:val="000000"/>
                <w:sz w:val="13"/>
                <w:szCs w:val="13"/>
                <w:lang w:eastAsia="pt-BR"/>
              </w:rPr>
              <w:t xml:space="preserve">UN </w:t>
            </w:r>
            <w:r>
              <w:rPr>
                <w:sz w:val="24"/>
                <w:szCs w:val="24"/>
                <w:lang w:eastAsia="pt-BR"/>
              </w:rPr>
            </w:r>
          </w:p>
        </w:tc>
        <w:tc>
          <w:tcPr>
            <w:shd w:val="clear" w:color="auto" w:fill="fffff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31" w:type="dxa"/>
            <w:vAlign w:val="center"/>
            <w:textDirection w:val="lrTb"/>
            <w:noWrap w:val="false"/>
          </w:tcPr>
          <w:p w14:paraId="4FC797DB" w14:textId="77777777">
            <w:pPr>
              <w:pBdr/>
              <w:spacing/>
              <w:ind/>
              <w:jc w:val="center"/>
              <w:rPr>
                <w:sz w:val="24"/>
                <w:szCs w:val="24"/>
                <w:lang w:eastAsia="pt-BR"/>
              </w:rPr>
            </w:pPr>
            <w:r>
              <w:rPr>
                <w:color w:val="000000"/>
                <w:sz w:val="15"/>
                <w:szCs w:val="15"/>
                <w:lang w:eastAsia="pt-BR"/>
              </w:rPr>
              <w:t xml:space="preserve">40</w:t>
            </w:r>
            <w:r>
              <w:rPr>
                <w:sz w:val="24"/>
                <w:szCs w:val="24"/>
                <w:lang w:eastAsia="pt-BR"/>
              </w:rPr>
            </w:r>
          </w:p>
        </w:tc>
        <w:tc>
          <w:tcPr>
            <w:shd w:val="clear" w:color="auto" w:fill="fffff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10" w:type="dxa"/>
            <w:vAlign w:val="center"/>
            <w:textDirection w:val="lrTb"/>
            <w:noWrap w:val="false"/>
          </w:tcPr>
          <w:p w14:paraId="37197BAF" w14:textId="77777777">
            <w:pPr>
              <w:pBdr/>
              <w:spacing/>
              <w:ind/>
              <w:jc w:val="center"/>
              <w:rPr>
                <w:sz w:val="24"/>
                <w:szCs w:val="24"/>
                <w:lang w:eastAsia="pt-BR"/>
              </w:rPr>
            </w:pPr>
            <w:r>
              <w:rPr>
                <w:color w:val="000000"/>
                <w:sz w:val="13"/>
                <w:szCs w:val="13"/>
                <w:lang w:eastAsia="pt-BR"/>
              </w:rPr>
              <w:t xml:space="preserve">R$ 1.924,00</w:t>
            </w:r>
            <w:r>
              <w:rPr>
                <w:sz w:val="24"/>
                <w:szCs w:val="24"/>
                <w:lang w:eastAsia="pt-BR"/>
              </w:rPr>
            </w:r>
          </w:p>
        </w:tc>
        <w:tc>
          <w:tcPr>
            <w:shd w:val="clear" w:color="auto" w:fill="fffff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90" w:type="dxa"/>
            <w:vAlign w:val="center"/>
            <w:textDirection w:val="lrTb"/>
            <w:noWrap w:val="false"/>
          </w:tcPr>
          <w:p w14:paraId="67AABB38" w14:textId="77777777">
            <w:pPr>
              <w:pBdr/>
              <w:spacing/>
              <w:ind/>
              <w:jc w:val="center"/>
              <w:rPr>
                <w:sz w:val="24"/>
                <w:szCs w:val="24"/>
                <w:lang w:eastAsia="pt-BR"/>
              </w:rPr>
            </w:pPr>
            <w:r>
              <w:rPr>
                <w:color w:val="000000"/>
                <w:sz w:val="13"/>
                <w:szCs w:val="13"/>
                <w:lang w:eastAsia="pt-BR"/>
              </w:rPr>
              <w:t xml:space="preserve">R$ 1.925,33</w:t>
            </w:r>
            <w:r>
              <w:rPr>
                <w:sz w:val="24"/>
                <w:szCs w:val="24"/>
                <w:lang w:eastAsia="pt-BR"/>
              </w:rPr>
            </w:r>
          </w:p>
        </w:tc>
        <w:tc>
          <w:tcPr>
            <w:shd w:val="clear" w:color="auto" w:fill="fffff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873" w:type="dxa"/>
            <w:vAlign w:val="center"/>
            <w:textDirection w:val="lrTb"/>
            <w:noWrap w:val="false"/>
          </w:tcPr>
          <w:p w14:paraId="1BDD3A99" w14:textId="77777777">
            <w:pPr>
              <w:pBdr/>
              <w:spacing/>
              <w:ind/>
              <w:jc w:val="center"/>
              <w:rPr>
                <w:sz w:val="24"/>
                <w:szCs w:val="24"/>
                <w:lang w:eastAsia="pt-BR"/>
              </w:rPr>
            </w:pPr>
            <w:r>
              <w:rPr>
                <w:color w:val="000000"/>
                <w:sz w:val="13"/>
                <w:szCs w:val="13"/>
                <w:lang w:eastAsia="pt-BR"/>
              </w:rPr>
              <w:t xml:space="preserve">R$ 2.000,00</w:t>
            </w:r>
            <w:r>
              <w:rPr>
                <w:sz w:val="24"/>
                <w:szCs w:val="24"/>
                <w:lang w:eastAsia="pt-BR"/>
              </w:rPr>
            </w:r>
          </w:p>
        </w:tc>
        <w:tc>
          <w:tcPr>
            <w:shd w:val="clear" w:color="auto" w:fill="fffff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968" w:type="dxa"/>
            <w:vAlign w:val="center"/>
            <w:textDirection w:val="lrTb"/>
            <w:noWrap w:val="false"/>
          </w:tcPr>
          <w:p w14:paraId="111DBE9A" w14:textId="77777777">
            <w:pPr>
              <w:pBdr/>
              <w:spacing/>
              <w:ind/>
              <w:jc w:val="center"/>
              <w:rPr>
                <w:sz w:val="24"/>
                <w:szCs w:val="24"/>
                <w:lang w:eastAsia="pt-BR"/>
              </w:rPr>
            </w:pPr>
            <w:r>
              <w:rPr>
                <w:color w:val="000000"/>
                <w:sz w:val="13"/>
                <w:szCs w:val="13"/>
                <w:lang w:eastAsia="pt-BR"/>
              </w:rPr>
              <w:t xml:space="preserve">R$ 1.949,7766</w:t>
            </w:r>
            <w:r>
              <w:rPr>
                <w:sz w:val="24"/>
                <w:szCs w:val="24"/>
                <w:lang w:eastAsia="pt-BR"/>
              </w:rPr>
            </w:r>
          </w:p>
        </w:tc>
        <w:tc>
          <w:tcPr>
            <w:shd w:val="clear" w:color="auto" w:fill="fffff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928" w:type="dxa"/>
            <w:vAlign w:val="center"/>
            <w:textDirection w:val="lrTb"/>
            <w:noWrap w:val="false"/>
          </w:tcPr>
          <w:p w14:paraId="3D25C435" w14:textId="77777777">
            <w:pPr>
              <w:pBdr/>
              <w:spacing/>
              <w:ind/>
              <w:jc w:val="center"/>
              <w:rPr>
                <w:sz w:val="24"/>
                <w:szCs w:val="24"/>
                <w:lang w:eastAsia="pt-BR"/>
              </w:rPr>
            </w:pPr>
            <w:r>
              <w:rPr>
                <w:color w:val="000000"/>
                <w:sz w:val="13"/>
                <w:szCs w:val="13"/>
                <w:lang w:eastAsia="pt-BR"/>
              </w:rPr>
              <w:t xml:space="preserve">R$ 77.991,06</w:t>
            </w:r>
            <w:r>
              <w:rPr>
                <w:sz w:val="24"/>
                <w:szCs w:val="24"/>
                <w:lang w:eastAsia="pt-BR"/>
              </w:rPr>
            </w:r>
          </w:p>
        </w:tc>
      </w:tr>
      <w:tr>
        <w:trPr>
          <w:tblCellSpacing w:w="0" w:type="dxa"/>
          <w:trHeight w:val="425"/>
        </w:trPr>
        <w:tc>
          <w:tcPr>
            <w:shd w:val="clear" w:color="auto" w:fill="fffff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425" w:type="dxa"/>
            <w:vAlign w:val="center"/>
            <w:textDirection w:val="lrTb"/>
            <w:noWrap w:val="false"/>
          </w:tcPr>
          <w:p w14:paraId="24EAB21F" w14:textId="77777777">
            <w:pPr>
              <w:pBdr/>
              <w:shd w:val="clear" w:color="auto" w:fill="ffffff"/>
              <w:spacing/>
              <w:ind/>
              <w:jc w:val="center"/>
              <w:rPr>
                <w:sz w:val="24"/>
                <w:szCs w:val="24"/>
                <w:lang w:eastAsia="pt-BR"/>
              </w:rPr>
            </w:pPr>
            <w:r>
              <w:rPr>
                <w:color w:val="000000"/>
                <w:sz w:val="15"/>
                <w:szCs w:val="15"/>
                <w:lang w:eastAsia="pt-BR"/>
              </w:rPr>
              <w:t xml:space="preserve">3</w:t>
            </w:r>
            <w:r>
              <w:rPr>
                <w:sz w:val="24"/>
                <w:szCs w:val="24"/>
                <w:lang w:eastAsia="pt-BR"/>
              </w:rPr>
            </w:r>
          </w:p>
        </w:tc>
        <w:tc>
          <w:tcPr>
            <w:shd w:val="clear" w:color="auto" w:fill="fffff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86" w:type="dxa"/>
            <w:vAlign w:val="center"/>
            <w:textDirection w:val="lrTb"/>
            <w:noWrap w:val="false"/>
          </w:tcPr>
          <w:p w14:paraId="5AC015EB" w14:textId="77777777">
            <w:pPr>
              <w:pBdr/>
              <w:spacing/>
              <w:ind/>
              <w:jc w:val="center"/>
              <w:rPr>
                <w:sz w:val="24"/>
                <w:szCs w:val="24"/>
                <w:lang w:eastAsia="pt-BR"/>
              </w:rPr>
            </w:pPr>
            <w:r>
              <w:rPr>
                <w:b/>
                <w:bCs/>
                <w:color w:val="000000"/>
                <w:sz w:val="15"/>
                <w:szCs w:val="15"/>
                <w:lang w:eastAsia="pt-BR"/>
              </w:rPr>
              <w:t xml:space="preserve">10648</w:t>
            </w:r>
            <w:r>
              <w:rPr>
                <w:sz w:val="24"/>
                <w:szCs w:val="24"/>
                <w:lang w:eastAsia="pt-BR"/>
              </w:rPr>
            </w:r>
          </w:p>
        </w:tc>
        <w:tc>
          <w:tcPr>
            <w:shd w:val="clear" w:color="auto" w:fill="fffff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697" w:type="dxa"/>
            <w:vAlign w:val="center"/>
            <w:textDirection w:val="lrTb"/>
            <w:noWrap w:val="false"/>
          </w:tcPr>
          <w:p w14:paraId="1615BD3A" w14:textId="77777777">
            <w:pPr>
              <w:pBdr/>
              <w:spacing/>
              <w:ind/>
              <w:jc w:val="center"/>
              <w:rPr>
                <w:sz w:val="24"/>
                <w:szCs w:val="24"/>
                <w:lang w:eastAsia="pt-BR"/>
              </w:rPr>
            </w:pPr>
            <w:r>
              <w:rPr>
                <w:color w:val="000000"/>
                <w:sz w:val="15"/>
                <w:szCs w:val="15"/>
                <w:lang w:eastAsia="pt-BR"/>
              </w:rPr>
              <w:t xml:space="preserve">129338</w:t>
            </w:r>
            <w:r>
              <w:rPr>
                <w:sz w:val="24"/>
                <w:szCs w:val="24"/>
                <w:lang w:eastAsia="pt-BR"/>
              </w:rPr>
            </w:r>
          </w:p>
        </w:tc>
        <w:tc>
          <w:tcPr>
            <w:shd w:val="clear" w:color="auto" w:fill="fffff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3082" w:type="dxa"/>
            <w:vAlign w:val="center"/>
            <w:textDirection w:val="lrTb"/>
            <w:noWrap w:val="false"/>
          </w:tcPr>
          <w:p w14:paraId="5B092047" w14:textId="77777777">
            <w:pPr>
              <w:pBdr/>
              <w:spacing/>
              <w:ind/>
              <w:rPr>
                <w:sz w:val="24"/>
                <w:szCs w:val="24"/>
                <w:lang w:eastAsia="pt-BR"/>
              </w:rPr>
            </w:pPr>
            <w:r>
              <w:rPr>
                <w:color w:val="000000"/>
                <w:sz w:val="15"/>
                <w:szCs w:val="15"/>
                <w:lang w:eastAsia="pt-BR"/>
              </w:rPr>
              <w:t xml:space="preserve">SERVIÇO DE TRANSLADO FUNERÁRIO TERRESTRE, POR MEIO DE VEÍCULO FUNERÁRIO APROPRIADO / ESPECIALIZADO. CONFORME TERMO DE REFERÊNCIA.</w:t>
            </w:r>
            <w:r>
              <w:rPr>
                <w:sz w:val="24"/>
                <w:szCs w:val="24"/>
                <w:lang w:eastAsia="pt-BR"/>
              </w:rPr>
            </w:r>
          </w:p>
        </w:tc>
        <w:tc>
          <w:tcPr>
            <w:shd w:val="clear" w:color="auto" w:fill="fffff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900" w:type="dxa"/>
            <w:vAlign w:val="center"/>
            <w:textDirection w:val="lrTb"/>
            <w:noWrap w:val="false"/>
          </w:tcPr>
          <w:p w14:paraId="08282534" w14:textId="77777777">
            <w:pPr>
              <w:pBdr/>
              <w:spacing/>
              <w:ind/>
              <w:jc w:val="center"/>
              <w:rPr>
                <w:sz w:val="24"/>
                <w:szCs w:val="24"/>
                <w:lang w:eastAsia="pt-BR"/>
              </w:rPr>
            </w:pPr>
            <w:r>
              <w:rPr>
                <w:color w:val="000000"/>
                <w:sz w:val="13"/>
                <w:szCs w:val="13"/>
                <w:lang w:eastAsia="pt-BR"/>
              </w:rPr>
              <w:t xml:space="preserve">QUILOMETRO</w:t>
            </w:r>
            <w:r>
              <w:rPr>
                <w:sz w:val="24"/>
                <w:szCs w:val="24"/>
                <w:lang w:eastAsia="pt-BR"/>
              </w:rPr>
            </w:r>
          </w:p>
        </w:tc>
        <w:tc>
          <w:tcPr>
            <w:shd w:val="clear" w:color="auto" w:fill="fffff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531" w:type="dxa"/>
            <w:vAlign w:val="center"/>
            <w:textDirection w:val="lrTb"/>
            <w:noWrap w:val="false"/>
          </w:tcPr>
          <w:p w14:paraId="0727F477" w14:textId="77777777">
            <w:pPr>
              <w:pBdr/>
              <w:spacing/>
              <w:ind/>
              <w:jc w:val="center"/>
              <w:rPr>
                <w:sz w:val="24"/>
                <w:szCs w:val="24"/>
                <w:lang w:eastAsia="pt-BR"/>
              </w:rPr>
            </w:pPr>
            <w:r>
              <w:rPr>
                <w:color w:val="000000"/>
                <w:sz w:val="15"/>
                <w:szCs w:val="15"/>
                <w:lang w:eastAsia="pt-BR"/>
              </w:rPr>
              <w:t xml:space="preserve">100000</w:t>
            </w:r>
            <w:r>
              <w:rPr>
                <w:sz w:val="24"/>
                <w:szCs w:val="24"/>
                <w:lang w:eastAsia="pt-BR"/>
              </w:rPr>
            </w:r>
          </w:p>
        </w:tc>
        <w:tc>
          <w:tcPr>
            <w:shd w:val="clear" w:color="auto" w:fill="fffff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10" w:type="dxa"/>
            <w:vAlign w:val="center"/>
            <w:textDirection w:val="lrTb"/>
            <w:noWrap w:val="false"/>
          </w:tcPr>
          <w:p w14:paraId="22DA3207" w14:textId="77777777">
            <w:pPr>
              <w:pBdr/>
              <w:spacing/>
              <w:ind/>
              <w:jc w:val="center"/>
              <w:rPr>
                <w:sz w:val="24"/>
                <w:szCs w:val="24"/>
                <w:lang w:eastAsia="pt-BR"/>
              </w:rPr>
            </w:pPr>
            <w:r>
              <w:rPr>
                <w:color w:val="000000"/>
                <w:sz w:val="13"/>
                <w:szCs w:val="13"/>
                <w:lang w:eastAsia="pt-BR"/>
              </w:rPr>
              <w:t xml:space="preserve">R$ 4,57</w:t>
            </w:r>
            <w:r>
              <w:rPr>
                <w:sz w:val="24"/>
                <w:szCs w:val="24"/>
                <w:lang w:eastAsia="pt-BR"/>
              </w:rPr>
            </w:r>
          </w:p>
        </w:tc>
        <w:tc>
          <w:tcPr>
            <w:shd w:val="clear" w:color="auto" w:fill="fffff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790" w:type="dxa"/>
            <w:vAlign w:val="center"/>
            <w:textDirection w:val="lrTb"/>
            <w:noWrap w:val="false"/>
          </w:tcPr>
          <w:p w14:paraId="27BE043F" w14:textId="77777777">
            <w:pPr>
              <w:pBdr/>
              <w:spacing/>
              <w:ind/>
              <w:jc w:val="center"/>
              <w:rPr>
                <w:sz w:val="24"/>
                <w:szCs w:val="24"/>
                <w:lang w:eastAsia="pt-BR"/>
              </w:rPr>
            </w:pPr>
            <w:r>
              <w:rPr>
                <w:color w:val="000000"/>
                <w:sz w:val="13"/>
                <w:szCs w:val="13"/>
                <w:lang w:eastAsia="pt-BR"/>
              </w:rPr>
              <w:t xml:space="preserve">R$ 4,6900</w:t>
            </w:r>
            <w:r>
              <w:rPr>
                <w:sz w:val="24"/>
                <w:szCs w:val="24"/>
                <w:lang w:eastAsia="pt-BR"/>
              </w:rPr>
            </w:r>
          </w:p>
        </w:tc>
        <w:tc>
          <w:tcPr>
            <w:shd w:val="clear" w:color="auto" w:fill="fffff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873" w:type="dxa"/>
            <w:vAlign w:val="center"/>
            <w:textDirection w:val="lrTb"/>
            <w:noWrap w:val="false"/>
          </w:tcPr>
          <w:p w14:paraId="3FB5A639" w14:textId="77777777">
            <w:pPr>
              <w:pBdr/>
              <w:spacing/>
              <w:ind/>
              <w:jc w:val="center"/>
              <w:rPr>
                <w:sz w:val="24"/>
                <w:szCs w:val="24"/>
                <w:lang w:eastAsia="pt-BR"/>
              </w:rPr>
            </w:pPr>
            <w:r>
              <w:rPr>
                <w:color w:val="000000"/>
                <w:sz w:val="13"/>
                <w:szCs w:val="13"/>
                <w:lang w:eastAsia="pt-BR"/>
              </w:rPr>
              <w:t xml:space="preserve">R$ 10,00</w:t>
            </w:r>
            <w:r>
              <w:rPr>
                <w:sz w:val="24"/>
                <w:szCs w:val="24"/>
                <w:lang w:eastAsia="pt-BR"/>
              </w:rPr>
            </w:r>
          </w:p>
        </w:tc>
        <w:tc>
          <w:tcPr>
            <w:shd w:val="clear" w:color="auto" w:fill="fffff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968" w:type="dxa"/>
            <w:vAlign w:val="center"/>
            <w:textDirection w:val="lrTb"/>
            <w:noWrap w:val="false"/>
          </w:tcPr>
          <w:p w14:paraId="36B6C188" w14:textId="77777777">
            <w:pPr>
              <w:pBdr/>
              <w:spacing/>
              <w:ind/>
              <w:jc w:val="center"/>
              <w:rPr>
                <w:sz w:val="24"/>
                <w:szCs w:val="24"/>
                <w:lang w:eastAsia="pt-BR"/>
              </w:rPr>
            </w:pPr>
            <w:r>
              <w:rPr>
                <w:color w:val="000000"/>
                <w:sz w:val="13"/>
                <w:szCs w:val="13"/>
                <w:lang w:eastAsia="pt-BR"/>
              </w:rPr>
              <w:t xml:space="preserve">R$ 6,42</w:t>
            </w:r>
            <w:r>
              <w:rPr>
                <w:sz w:val="24"/>
                <w:szCs w:val="24"/>
                <w:lang w:eastAsia="pt-BR"/>
              </w:rPr>
            </w:r>
          </w:p>
        </w:tc>
        <w:tc>
          <w:tcPr>
            <w:shd w:val="clear" w:color="auto" w:fill="fffff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928" w:type="dxa"/>
            <w:vAlign w:val="center"/>
            <w:textDirection w:val="lrTb"/>
            <w:noWrap w:val="false"/>
          </w:tcPr>
          <w:p w14:paraId="1C2B5CAB" w14:textId="77777777">
            <w:pPr>
              <w:pBdr/>
              <w:spacing/>
              <w:ind/>
              <w:jc w:val="center"/>
              <w:rPr>
                <w:sz w:val="24"/>
                <w:szCs w:val="24"/>
                <w:lang w:eastAsia="pt-BR"/>
              </w:rPr>
            </w:pPr>
            <w:r>
              <w:rPr>
                <w:color w:val="000000"/>
                <w:sz w:val="13"/>
                <w:szCs w:val="13"/>
                <w:lang w:eastAsia="pt-BR"/>
              </w:rPr>
              <w:t xml:space="preserve">R$ 642.000,00</w:t>
            </w:r>
            <w:r>
              <w:rPr>
                <w:sz w:val="24"/>
                <w:szCs w:val="24"/>
                <w:lang w:eastAsia="pt-BR"/>
              </w:rPr>
            </w:r>
          </w:p>
        </w:tc>
      </w:tr>
      <w:tr>
        <w:trPr>
          <w:tblCellSpacing w:w="0" w:type="dxa"/>
          <w:trHeight w:val="305"/>
        </w:trPr>
        <w:tc>
          <w:tcPr>
            <w:gridSpan w:val="10"/>
            <w:shd w:val="clear" w:color="auto" w:fill="fffff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9762" w:type="dxa"/>
            <w:vAlign w:val="center"/>
            <w:textDirection w:val="lrTb"/>
            <w:noWrap w:val="false"/>
          </w:tcPr>
          <w:p w14:paraId="703EC0E3" w14:textId="77777777">
            <w:pPr>
              <w:pBdr/>
              <w:spacing/>
              <w:ind/>
              <w:jc w:val="center"/>
              <w:rPr>
                <w:sz w:val="24"/>
                <w:szCs w:val="24"/>
                <w:lang w:eastAsia="pt-BR"/>
              </w:rPr>
            </w:pPr>
            <w:r>
              <w:rPr>
                <w:b/>
                <w:bCs/>
                <w:color w:val="000000"/>
                <w:sz w:val="13"/>
                <w:szCs w:val="13"/>
                <w:lang w:eastAsia="pt-BR"/>
              </w:rPr>
              <w:t xml:space="preserve">TOTAL</w:t>
            </w:r>
            <w:r>
              <w:rPr>
                <w:sz w:val="24"/>
                <w:szCs w:val="24"/>
                <w:lang w:eastAsia="pt-BR"/>
              </w:rPr>
            </w:r>
          </w:p>
        </w:tc>
        <w:tc>
          <w:tcPr>
            <w:shd w:val="clear" w:color="auto" w:fill="ffffff"/>
            <w:tcBorders>
              <w:top w:val="single" w:color="000000" w:sz="4" w:space="0"/>
              <w:left w:val="single" w:color="000000" w:sz="4" w:space="0"/>
              <w:bottom w:val="single" w:color="000000" w:sz="4" w:space="0"/>
              <w:right w:val="single" w:color="000000" w:sz="4" w:space="0"/>
            </w:tcBorders>
            <w:tcMar>
              <w:left w:w="108" w:type="dxa"/>
              <w:top w:w="0" w:type="dxa"/>
              <w:right w:w="108" w:type="dxa"/>
              <w:bottom w:w="0" w:type="dxa"/>
            </w:tcMar>
            <w:tcW w:w="928" w:type="dxa"/>
            <w:vAlign w:val="center"/>
            <w:textDirection w:val="lrTb"/>
            <w:noWrap w:val="false"/>
          </w:tcPr>
          <w:p w14:paraId="327AA8CC" w14:textId="77777777">
            <w:pPr>
              <w:pBdr/>
              <w:spacing/>
              <w:ind/>
              <w:jc w:val="center"/>
              <w:rPr>
                <w:sz w:val="24"/>
                <w:szCs w:val="24"/>
                <w:lang w:eastAsia="pt-BR"/>
              </w:rPr>
            </w:pPr>
            <w:r>
              <w:rPr>
                <w:b/>
                <w:bCs/>
                <w:color w:val="000000"/>
                <w:sz w:val="13"/>
                <w:szCs w:val="13"/>
                <w:lang w:eastAsia="pt-BR"/>
              </w:rPr>
              <w:t xml:space="preserve">R$ 860.678,86</w:t>
            </w:r>
            <w:r>
              <w:rPr>
                <w:sz w:val="24"/>
                <w:szCs w:val="24"/>
                <w:lang w:eastAsia="pt-BR"/>
              </w:rPr>
            </w:r>
          </w:p>
        </w:tc>
      </w:tr>
    </w:tbl>
    <w:p w14:paraId="6FB136AD" w14:textId="77777777">
      <w:pPr>
        <w:pBdr/>
        <w:spacing w:after="240" w:before="240"/>
        <w:ind/>
        <w:jc w:val="both"/>
        <w:rPr>
          <w:rFonts w:ascii="Arial" w:hAnsi="Arial" w:cs="Arial"/>
        </w:rPr>
      </w:pPr>
      <w:r>
        <w:rPr>
          <w:rFonts w:ascii="Arial" w:hAnsi="Arial" w:cs="Arial"/>
        </w:rPr>
        <w:t xml:space="preserve">2.3. Valor total estimado é de </w:t>
      </w:r>
      <w:r>
        <w:rPr>
          <w:rFonts w:ascii="Arial" w:hAnsi="Arial" w:cs="Arial"/>
          <w:b/>
          <w:bCs/>
        </w:rPr>
        <w:t xml:space="preserve">R$ 860.678,86 (Oitocentos e sessenta mil, seiscentos e setenta e oito reais e oitenta e seis centavos).</w:t>
      </w:r>
      <w:r>
        <w:rPr>
          <w:rFonts w:ascii="Arial" w:hAnsi="Arial" w:cs="Arial"/>
        </w:rPr>
        <w:t xml:space="preserve"> </w:t>
      </w:r>
      <w:r>
        <w:rPr>
          <w:rFonts w:ascii="Arial" w:hAnsi="Arial" w:cs="Arial"/>
        </w:rPr>
      </w:r>
    </w:p>
    <w:p w14:paraId="7C8B8966" w14:textId="77777777">
      <w:pPr>
        <w:pStyle w:val="1067"/>
        <w:pBdr/>
        <w:spacing/>
        <w:ind/>
        <w:jc w:val="both"/>
        <w:rPr>
          <w:b/>
          <w:sz w:val="20"/>
          <w:szCs w:val="20"/>
        </w:rPr>
      </w:pPr>
      <w:r>
        <w:rPr>
          <w:b/>
          <w:sz w:val="20"/>
          <w:szCs w:val="20"/>
        </w:rPr>
        <w:t xml:space="preserve">2.4 ESPECIFICAÇÕES TÉCNICAS MÍNIMAS PARA TODOS OS ITENS QUE COMPÕEM O LOTE ÚNICO:</w:t>
      </w:r>
      <w:r>
        <w:rPr>
          <w:b/>
          <w:sz w:val="20"/>
          <w:szCs w:val="20"/>
        </w:rPr>
      </w:r>
    </w:p>
    <w:p w14:paraId="10230651" w14:textId="77777777">
      <w:pPr>
        <w:pStyle w:val="1067"/>
        <w:pBdr/>
        <w:spacing/>
        <w:ind/>
        <w:jc w:val="both"/>
        <w:rPr>
          <w:b/>
          <w:sz w:val="20"/>
          <w:szCs w:val="20"/>
        </w:rPr>
      </w:pPr>
      <w:r>
        <w:rPr>
          <w:b/>
          <w:sz w:val="20"/>
          <w:szCs w:val="20"/>
        </w:rPr>
      </w:r>
      <w:r>
        <w:rPr>
          <w:b/>
          <w:sz w:val="20"/>
          <w:szCs w:val="20"/>
        </w:rPr>
      </w:r>
    </w:p>
    <w:p w14:paraId="2AB6196F" w14:textId="77777777">
      <w:pPr>
        <w:pStyle w:val="1067"/>
        <w:pBdr/>
        <w:spacing/>
        <w:ind/>
        <w:jc w:val="both"/>
        <w:rPr>
          <w:sz w:val="20"/>
          <w:szCs w:val="20"/>
          <w:u w:val="single"/>
        </w:rPr>
      </w:pPr>
      <w:r>
        <w:rPr>
          <w:b/>
          <w:sz w:val="20"/>
          <w:szCs w:val="20"/>
        </w:rPr>
        <w:t xml:space="preserve">2.4.1.</w:t>
      </w:r>
      <w:r>
        <w:rPr>
          <w:sz w:val="20"/>
          <w:szCs w:val="20"/>
        </w:rPr>
        <w:t xml:space="preserve"> A definição de especificações técnicas mínimas para os itens a serem adquiridos, bem como, dos serviços a serem prestados, têm como objetivo assegurar que os produtos fornecidos/serviços prestados atendam, no mínimo, aos requisitos necessários para o dese</w:t>
      </w:r>
      <w:r>
        <w:rPr>
          <w:sz w:val="20"/>
          <w:szCs w:val="20"/>
        </w:rPr>
        <w:t xml:space="preserve">mpenho eficiente das atividades da Prefeitura Municipal de Rondonópolis. Essas especificações representam o padrão mínimo aceitável de qualidade, desempenho e compatibilidade, garantindo que os equipamentos adquiridos e serviços prestados sejam adequados à</w:t>
      </w:r>
      <w:r>
        <w:rPr>
          <w:sz w:val="20"/>
          <w:szCs w:val="20"/>
        </w:rPr>
        <w:t xml:space="preserve">s necessidades operacionais da administração pública. Assim as especificações técnicas mínimas </w:t>
      </w:r>
      <w:r>
        <w:rPr>
          <w:sz w:val="20"/>
          <w:szCs w:val="20"/>
          <w:u w:val="single"/>
        </w:rPr>
        <w:t xml:space="preserve">estão elencadas no Termo de Referência, anexo a esse Edital.</w:t>
      </w:r>
      <w:r>
        <w:rPr>
          <w:sz w:val="20"/>
          <w:szCs w:val="20"/>
          <w:u w:val="single"/>
        </w:rPr>
      </w:r>
    </w:p>
    <w:p w14:paraId="26FA8028" w14:textId="77777777">
      <w:pPr>
        <w:pStyle w:val="1067"/>
        <w:pBdr/>
        <w:spacing/>
        <w:ind/>
        <w:jc w:val="both"/>
        <w:rPr>
          <w:sz w:val="20"/>
          <w:szCs w:val="20"/>
          <w:u w:val="single"/>
        </w:rPr>
      </w:pPr>
      <w:r>
        <w:rPr>
          <w:sz w:val="20"/>
          <w:szCs w:val="20"/>
          <w:u w:val="single"/>
        </w:rPr>
      </w:r>
      <w:r>
        <w:rPr>
          <w:sz w:val="20"/>
          <w:szCs w:val="20"/>
          <w:u w:val="single"/>
        </w:rPr>
      </w:r>
    </w:p>
    <w:p w14:paraId="73134749" w14:textId="77777777">
      <w:pPr>
        <w:pStyle w:val="882"/>
        <w:pBdr/>
        <w:spacing w:after="0" w:before="0"/>
        <w:ind/>
        <w:rPr>
          <w:sz w:val="20"/>
          <w:szCs w:val="20"/>
          <w:lang w:val="pt-BR"/>
        </w:rPr>
      </w:pPr>
      <w:r>
        <w:rPr>
          <w:sz w:val="20"/>
          <w:szCs w:val="20"/>
          <w:lang w:val="pt-BR"/>
        </w:rPr>
        <w:t xml:space="preserve">3. DA REFERÊNCIA DE HORÁRIO NO EDITAL: </w:t>
      </w:r>
      <w:r>
        <w:rPr>
          <w:sz w:val="20"/>
          <w:szCs w:val="20"/>
          <w:lang w:val="pt-BR"/>
        </w:rPr>
      </w:r>
    </w:p>
    <w:p w14:paraId="45A2A3AB"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0B6DC38C" w14:textId="77777777">
      <w:pPr>
        <w:pBdr/>
        <w:spacing/>
        <w:ind/>
        <w:jc w:val="both"/>
        <w:rPr>
          <w:rFonts w:ascii="Arial" w:hAnsi="Arial" w:eastAsia="Arial" w:cs="Arial"/>
        </w:rPr>
      </w:pPr>
      <w:r>
        <w:rPr>
          <w:rFonts w:ascii="Arial" w:hAnsi="Arial" w:eastAsia="Arial" w:cs="Arial"/>
          <w:b/>
        </w:rPr>
        <w:t xml:space="preserve">3.1.</w:t>
      </w:r>
      <w:r>
        <w:rPr>
          <w:rFonts w:ascii="Arial" w:hAnsi="Arial" w:eastAsia="Arial" w:cs="Arial"/>
        </w:rPr>
        <w:t xml:space="preserve"> Todas as referências de horário no Edital, no Aviso e durante a Sessão Pública observarão obrigatoriamente o </w:t>
      </w:r>
      <w:r>
        <w:rPr>
          <w:rFonts w:ascii="Arial" w:hAnsi="Arial" w:eastAsia="Arial" w:cs="Arial"/>
          <w:b/>
        </w:rPr>
        <w:t xml:space="preserve">Horário de Brasília – DF</w:t>
      </w:r>
      <w:r>
        <w:rPr>
          <w:rFonts w:ascii="Arial" w:hAnsi="Arial" w:eastAsia="Arial" w:cs="Arial"/>
        </w:rPr>
        <w:t xml:space="preserve"> e, dessa forma, serão registradas no sistema eletrônico e na documentação relativa ao certame. </w:t>
      </w:r>
      <w:r>
        <w:rPr>
          <w:rFonts w:ascii="Arial" w:hAnsi="Arial" w:eastAsia="Arial" w:cs="Arial"/>
        </w:rPr>
      </w:r>
    </w:p>
    <w:p w14:paraId="0CF37EF8"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745AB0E7" w14:textId="77777777">
      <w:pPr>
        <w:pStyle w:val="882"/>
        <w:pBdr/>
        <w:spacing w:after="0" w:before="0"/>
        <w:ind/>
        <w:rPr>
          <w:sz w:val="20"/>
          <w:szCs w:val="20"/>
          <w:lang w:val="pt-BR"/>
        </w:rPr>
      </w:pPr>
      <w:r/>
      <w:bookmarkStart w:id="6" w:name="_heading=h.pscvaq7q2jc2"/>
      <w:r/>
      <w:bookmarkEnd w:id="6"/>
      <w:r>
        <w:rPr>
          <w:sz w:val="20"/>
          <w:szCs w:val="20"/>
          <w:lang w:val="pt-BR"/>
        </w:rPr>
        <w:t xml:space="preserve">4. DAS CONDIÇÕES PARA PARTICIPAÇÃO NO CERTAME: </w:t>
      </w:r>
      <w:r>
        <w:rPr>
          <w:sz w:val="20"/>
          <w:szCs w:val="20"/>
          <w:lang w:val="pt-BR"/>
        </w:rPr>
      </w:r>
    </w:p>
    <w:p w14:paraId="564192B1"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2CA5650C" w14:textId="77777777">
      <w:pPr>
        <w:pBdr/>
        <w:spacing/>
        <w:ind/>
        <w:jc w:val="both"/>
        <w:rPr>
          <w:rFonts w:ascii="Arial" w:hAnsi="Arial" w:eastAsia="Arial" w:cs="Arial"/>
          <w:color w:val="000000"/>
        </w:rPr>
      </w:pPr>
      <w:r>
        <w:rPr>
          <w:rFonts w:ascii="Arial" w:hAnsi="Arial" w:eastAsia="Arial" w:cs="Arial"/>
          <w:b/>
        </w:rPr>
        <w:t xml:space="preserve">4.1.</w:t>
      </w:r>
      <w:r>
        <w:rPr>
          <w:rFonts w:ascii="Arial" w:hAnsi="Arial" w:eastAsia="Arial" w:cs="Arial"/>
        </w:rPr>
        <w:t xml:space="preserve"> A participação no certame se dará por meio da digitação da senha pessoal e intransferível do representante credenciado e subsequente encaminhamento da proposta de preços, exclusivamente, por meio do sistema eletrônico no site </w:t>
      </w:r>
      <w:r>
        <w:rPr>
          <w:rFonts w:ascii="Arial" w:hAnsi="Arial" w:eastAsia="Arial" w:cs="Arial"/>
          <w:b/>
        </w:rPr>
        <w:t xml:space="preserve">bllcompras.com</w:t>
      </w:r>
      <w:r>
        <w:rPr>
          <w:rFonts w:ascii="Arial" w:hAnsi="Arial" w:eastAsia="Arial" w:cs="Arial"/>
        </w:rPr>
        <w:t xml:space="preserve"> e ou, opção "</w:t>
      </w:r>
      <w:r>
        <w:rPr>
          <w:rFonts w:ascii="Arial" w:hAnsi="Arial" w:eastAsia="Arial" w:cs="Arial"/>
          <w:b/>
        </w:rPr>
        <w:t xml:space="preserve">Acesso Identificado</w:t>
      </w:r>
      <w:r>
        <w:rPr>
          <w:rFonts w:ascii="Arial" w:hAnsi="Arial" w:eastAsia="Arial" w:cs="Arial"/>
        </w:rPr>
        <w:t xml:space="preserve">", </w:t>
      </w:r>
      <w:r>
        <w:rPr>
          <w:rFonts w:ascii="Arial" w:hAnsi="Arial" w:eastAsia="Arial" w:cs="Arial"/>
          <w:b/>
        </w:rPr>
        <w:t xml:space="preserve">observadas a data e horário limite estabelecido neste edital</w:t>
      </w:r>
      <w:r>
        <w:rPr>
          <w:rFonts w:ascii="Arial" w:hAnsi="Arial" w:eastAsia="Arial" w:cs="Arial"/>
          <w:b/>
          <w:color w:val="000000"/>
        </w:rPr>
        <w:t xml:space="preserve">.</w:t>
      </w:r>
      <w:r>
        <w:rPr>
          <w:rFonts w:ascii="Arial" w:hAnsi="Arial" w:eastAsia="Arial" w:cs="Arial"/>
          <w:color w:val="000000"/>
        </w:rPr>
        <w:t xml:space="preserve"> (Horário de Brasília).</w:t>
      </w:r>
      <w:r>
        <w:rPr>
          <w:rFonts w:ascii="Arial" w:hAnsi="Arial" w:eastAsia="Arial" w:cs="Arial"/>
          <w:color w:val="000000"/>
        </w:rPr>
      </w:r>
    </w:p>
    <w:p w14:paraId="6022418B" w14:textId="77777777">
      <w:pPr>
        <w:pBdr/>
        <w:spacing/>
        <w:ind/>
        <w:jc w:val="both"/>
        <w:rPr>
          <w:rFonts w:ascii="Arial" w:hAnsi="Arial" w:eastAsia="Arial" w:cs="Arial"/>
          <w:color w:val="000000"/>
        </w:rPr>
      </w:pPr>
      <w:r>
        <w:rPr>
          <w:rFonts w:ascii="Arial" w:hAnsi="Arial" w:eastAsia="Arial" w:cs="Arial"/>
          <w:color w:val="000000"/>
        </w:rPr>
      </w:r>
      <w:r>
        <w:rPr>
          <w:rFonts w:ascii="Arial" w:hAnsi="Arial" w:eastAsia="Arial" w:cs="Arial"/>
          <w:color w:val="000000"/>
        </w:rPr>
      </w:r>
    </w:p>
    <w:p w14:paraId="1D395694" w14:textId="77777777">
      <w:pPr>
        <w:pBdr/>
        <w:spacing/>
        <w:ind/>
        <w:jc w:val="both"/>
        <w:rPr>
          <w:rFonts w:ascii="Arial" w:hAnsi="Arial" w:eastAsia="Arial" w:cs="Arial"/>
        </w:rPr>
      </w:pPr>
      <w:r>
        <w:rPr>
          <w:rFonts w:ascii="Arial" w:hAnsi="Arial" w:eastAsia="Arial" w:cs="Arial"/>
          <w:b/>
        </w:rPr>
        <w:t xml:space="preserve">4.2.</w:t>
      </w:r>
      <w:r>
        <w:rPr>
          <w:rFonts w:ascii="Arial" w:hAnsi="Arial" w:eastAsia="Arial" w:cs="Arial"/>
        </w:rPr>
        <w:t xml:space="preserve"> O licitante arcará integralmente com todos os custos de preparação e apresentação de sua proposta, independente do resultado do procedimento licitatório. </w:t>
      </w:r>
      <w:r>
        <w:rPr>
          <w:rFonts w:ascii="Arial" w:hAnsi="Arial" w:eastAsia="Arial" w:cs="Arial"/>
        </w:rPr>
      </w:r>
    </w:p>
    <w:p w14:paraId="3BBB2084"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14DB3D00" w14:textId="77777777">
      <w:pPr>
        <w:pBdr/>
        <w:spacing/>
        <w:ind/>
        <w:jc w:val="both"/>
        <w:rPr>
          <w:rFonts w:ascii="Arial" w:hAnsi="Arial" w:eastAsia="Arial" w:cs="Arial"/>
        </w:rPr>
      </w:pPr>
      <w:r>
        <w:rPr>
          <w:rFonts w:ascii="Arial" w:hAnsi="Arial" w:eastAsia="Arial" w:cs="Arial"/>
          <w:b/>
        </w:rPr>
        <w:t xml:space="preserve">4.3.</w:t>
      </w:r>
      <w:r>
        <w:rPr>
          <w:rFonts w:ascii="Arial" w:hAnsi="Arial" w:eastAsia="Arial" w:cs="Arial"/>
        </w:rPr>
        <w:t xml:space="preserve"> Some</w:t>
      </w:r>
      <w:r>
        <w:rPr>
          <w:rFonts w:ascii="Arial" w:hAnsi="Arial" w:eastAsia="Arial" w:cs="Arial"/>
        </w:rPr>
        <w:t xml:space="preserve">nte será admitida a participação neste certame, de pessoas jurídicas, que comprovem com documentos de registros ou autorizações legais, que explorem ramo de atividade compatível com o objeto desta licitação e atendam às exigências do edital e seus anexos; </w:t>
      </w:r>
      <w:r>
        <w:rPr>
          <w:rFonts w:ascii="Arial" w:hAnsi="Arial" w:eastAsia="Arial" w:cs="Arial"/>
        </w:rPr>
      </w:r>
    </w:p>
    <w:p w14:paraId="39BFE2B2"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11689B43" w14:textId="77777777">
      <w:pPr>
        <w:pBdr/>
        <w:spacing/>
        <w:ind/>
        <w:jc w:val="both"/>
        <w:rPr>
          <w:rFonts w:ascii="Arial" w:hAnsi="Arial" w:eastAsia="Arial" w:cs="Arial"/>
        </w:rPr>
      </w:pPr>
      <w:r>
        <w:rPr>
          <w:rFonts w:ascii="Arial" w:hAnsi="Arial" w:eastAsia="Arial" w:cs="Arial"/>
          <w:b/>
        </w:rPr>
        <w:t xml:space="preserve">4.4.</w:t>
      </w:r>
      <w:r>
        <w:rPr>
          <w:rFonts w:ascii="Arial" w:hAnsi="Arial" w:eastAsia="Arial" w:cs="Arial"/>
        </w:rPr>
        <w:t xml:space="preserve"> O licitante responsabiliza-se exclusiva e formalmente pelas transações efetuadas em seu nome, assume como firmes e verdadeiras suas propostas e seus lances, inclusiv</w:t>
      </w:r>
      <w:r>
        <w:rPr>
          <w:rFonts w:ascii="Arial" w:hAnsi="Arial" w:eastAsia="Arial" w:cs="Arial"/>
        </w:rPr>
        <w:t xml:space="preserve">e os atos praticados diretamente ou por seu representante, excluída a responsabilidade do provedor do sistema ou do órgão ou entidade promotora da licitação por eventuais danos decorrentes de uso indevido das credenciais de acesso, ainda que por terceiros.</w:t>
      </w:r>
      <w:r>
        <w:rPr>
          <w:rFonts w:ascii="Arial" w:hAnsi="Arial" w:eastAsia="Arial" w:cs="Arial"/>
        </w:rPr>
      </w:r>
    </w:p>
    <w:p w14:paraId="75190F96"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5D77DAD0" w14:textId="77777777">
      <w:pPr>
        <w:pBdr/>
        <w:spacing/>
        <w:ind/>
        <w:jc w:val="both"/>
        <w:rPr>
          <w:rFonts w:ascii="Arial" w:hAnsi="Arial" w:eastAsia="Arial" w:cs="Arial"/>
        </w:rPr>
      </w:pPr>
      <w:r>
        <w:rPr>
          <w:rFonts w:ascii="Arial" w:hAnsi="Arial" w:eastAsia="Arial" w:cs="Arial"/>
          <w:b/>
        </w:rPr>
        <w:t xml:space="preserve">4.4.1.</w:t>
      </w:r>
      <w:r>
        <w:rPr>
          <w:rFonts w:ascii="Arial" w:hAnsi="Arial" w:eastAsia="Arial" w:cs="Arial"/>
        </w:rPr>
        <w:t xml:space="preserve"> Poderão participar deste certame pessoas jurídicas que explorem ramo de atividade compatível e pertinente com o</w:t>
      </w:r>
      <w:r>
        <w:rPr>
          <w:rFonts w:ascii="Arial" w:hAnsi="Arial" w:eastAsia="Arial" w:cs="Arial"/>
        </w:rPr>
        <w:t xml:space="preserve"> objeto desta licitação e atendam às exigências deste Edital e seus anexos, correndo por sua conta todos os custos decorrentes da elaboração e apresentação de suas propostas, não sendo devida nenhuma indenização aos licitantes pela realização de tais atos.</w:t>
      </w:r>
      <w:r>
        <w:rPr>
          <w:rFonts w:ascii="Arial" w:hAnsi="Arial" w:eastAsia="Arial" w:cs="Arial"/>
        </w:rPr>
      </w:r>
    </w:p>
    <w:p w14:paraId="5A123800"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07FB3B0F" w14:textId="77777777">
      <w:pPr>
        <w:pBdr/>
        <w:spacing/>
        <w:ind/>
        <w:jc w:val="both"/>
        <w:rPr>
          <w:rFonts w:ascii="Arial" w:hAnsi="Arial" w:eastAsia="Arial" w:cs="Arial"/>
          <w:color w:val="000000"/>
        </w:rPr>
      </w:pPr>
      <w:r>
        <w:rPr>
          <w:rFonts w:ascii="Arial" w:hAnsi="Arial" w:eastAsia="Arial" w:cs="Arial"/>
          <w:b/>
          <w:color w:val="000000"/>
        </w:rPr>
        <w:t xml:space="preserve">4.4.2.</w:t>
      </w:r>
      <w:r>
        <w:rPr>
          <w:rFonts w:ascii="Arial" w:hAnsi="Arial" w:eastAsia="Arial" w:cs="Arial"/>
          <w:color w:val="000000"/>
        </w:rPr>
        <w:t xml:space="preserve"> Será concedido tratamento favorecido para as microempresas e empresas de pequeno porte, para as sociedades cooperativas mencionadas no </w:t>
      </w:r>
      <w:hyperlink r:id="rId15" w:tooltip="http://www.planalto.gov.br/ccivil_03/_ato2019-2022/2021/lei/L14133.htm#art16" w:anchor="art16" w:history="1">
        <w:r>
          <w:rPr>
            <w:rFonts w:ascii="Arial" w:hAnsi="Arial" w:eastAsia="Arial" w:cs="Arial"/>
            <w:color w:val="000000"/>
            <w:u w:val="single"/>
          </w:rPr>
          <w:t xml:space="preserve">artigo 16 da Lei nº 14.133, de 2021</w:t>
        </w:r>
      </w:hyperlink>
      <w:r>
        <w:rPr>
          <w:rFonts w:ascii="Arial" w:hAnsi="Arial" w:eastAsia="Arial" w:cs="Arial"/>
          <w:color w:val="000000"/>
        </w:rPr>
        <w:t xml:space="preserve">, para o agricultor familiar, o produtor rural pessoa física e para o microempreendedor individual - MEI, nos limites previstos da </w:t>
      </w:r>
      <w:hyperlink r:id="rId16" w:tooltip="https://www.planalto.gov.br/ccivil_03/leis/lcp/lcp123.htm" w:history="1">
        <w:r>
          <w:rPr>
            <w:rFonts w:ascii="Arial" w:hAnsi="Arial" w:eastAsia="Arial" w:cs="Arial"/>
            <w:color w:val="000000"/>
            <w:u w:val="single"/>
          </w:rPr>
          <w:t xml:space="preserve">Lei Complementar nº 123, de 2006</w:t>
        </w:r>
      </w:hyperlink>
      <w:r>
        <w:rPr>
          <w:rFonts w:ascii="Arial" w:hAnsi="Arial" w:eastAsia="Arial" w:cs="Arial"/>
          <w:color w:val="000000"/>
        </w:rPr>
        <w:t xml:space="preserve"> e do Decreto n.º 8.538, de 2015.</w:t>
      </w:r>
      <w:r>
        <w:rPr>
          <w:rFonts w:ascii="Arial" w:hAnsi="Arial" w:eastAsia="Arial" w:cs="Arial"/>
          <w:color w:val="000000"/>
        </w:rPr>
      </w:r>
    </w:p>
    <w:p w14:paraId="4C1566DF" w14:textId="77777777">
      <w:pPr>
        <w:pBdr/>
        <w:spacing/>
        <w:ind/>
        <w:jc w:val="both"/>
        <w:rPr>
          <w:rFonts w:ascii="Arial" w:hAnsi="Arial" w:eastAsia="Arial" w:cs="Arial"/>
        </w:rPr>
      </w:pPr>
      <w:r/>
      <w:bookmarkStart w:id="7" w:name="_heading=h.xdr9i8o5896i"/>
      <w:r/>
      <w:bookmarkEnd w:id="7"/>
      <w:r/>
      <w:r>
        <w:rPr>
          <w:rFonts w:ascii="Arial" w:hAnsi="Arial" w:eastAsia="Arial" w:cs="Arial"/>
        </w:rPr>
      </w:r>
    </w:p>
    <w:p w14:paraId="6C184A3B" w14:textId="77777777">
      <w:pPr>
        <w:pBdr/>
        <w:spacing/>
        <w:ind/>
        <w:jc w:val="both"/>
        <w:rPr>
          <w:rFonts w:ascii="Arial" w:hAnsi="Arial" w:eastAsia="Arial" w:cs="Arial"/>
          <w:b/>
          <w:color w:val="000000"/>
        </w:rPr>
      </w:pPr>
      <w:r/>
      <w:bookmarkStart w:id="8" w:name="_heading=h.mggn4f7e7hl2"/>
      <w:r/>
      <w:bookmarkEnd w:id="8"/>
      <w:r>
        <w:rPr>
          <w:rFonts w:ascii="Arial" w:hAnsi="Arial" w:eastAsia="Arial" w:cs="Arial"/>
          <w:b/>
          <w:color w:val="000000"/>
        </w:rPr>
        <w:t xml:space="preserve">4.5.</w:t>
      </w:r>
      <w:r>
        <w:rPr>
          <w:rFonts w:ascii="Arial" w:hAnsi="Arial" w:eastAsia="Arial" w:cs="Arial"/>
          <w:color w:val="000000"/>
        </w:rPr>
        <w:t xml:space="preserve"> </w:t>
      </w:r>
      <w:r>
        <w:rPr>
          <w:rFonts w:ascii="Arial" w:hAnsi="Arial" w:eastAsia="Arial" w:cs="Arial"/>
          <w:b/>
          <w:color w:val="000000"/>
        </w:rPr>
        <w:t xml:space="preserve">NÃO PODERÃO DISPUTAR ESTA LICITAÇÃO:</w:t>
      </w:r>
      <w:r>
        <w:rPr>
          <w:rFonts w:ascii="Arial" w:hAnsi="Arial" w:eastAsia="Arial" w:cs="Arial"/>
          <w:b/>
          <w:color w:val="000000"/>
        </w:rPr>
      </w:r>
    </w:p>
    <w:p w14:paraId="7AE4B5BD" w14:textId="77777777">
      <w:pPr>
        <w:pBdr/>
        <w:spacing/>
        <w:ind/>
        <w:jc w:val="both"/>
        <w:rPr>
          <w:rFonts w:ascii="Arial" w:hAnsi="Arial" w:eastAsia="Arial" w:cs="Arial"/>
          <w:b/>
          <w:color w:val="000000"/>
        </w:rPr>
      </w:pPr>
      <w:r>
        <w:rPr>
          <w:rFonts w:ascii="Arial" w:hAnsi="Arial" w:eastAsia="Arial" w:cs="Arial"/>
          <w:b/>
          <w:color w:val="000000"/>
        </w:rPr>
      </w:r>
      <w:r>
        <w:rPr>
          <w:rFonts w:ascii="Arial" w:hAnsi="Arial" w:eastAsia="Arial" w:cs="Arial"/>
          <w:b/>
          <w:color w:val="000000"/>
        </w:rPr>
      </w:r>
    </w:p>
    <w:p w14:paraId="331CFAB0" w14:textId="77777777">
      <w:pPr>
        <w:pBdr/>
        <w:spacing/>
        <w:ind/>
        <w:jc w:val="both"/>
        <w:rPr>
          <w:rFonts w:ascii="Arial" w:hAnsi="Arial" w:eastAsia="Arial" w:cs="Arial"/>
        </w:rPr>
      </w:pPr>
      <w:r>
        <w:rPr>
          <w:rFonts w:ascii="Arial" w:hAnsi="Arial" w:eastAsia="Arial" w:cs="Arial"/>
          <w:b/>
        </w:rPr>
        <w:t xml:space="preserve">4.5.1</w:t>
      </w:r>
      <w:r>
        <w:rPr>
          <w:rFonts w:ascii="Arial" w:hAnsi="Arial" w:eastAsia="Arial" w:cs="Arial"/>
        </w:rPr>
        <w:t xml:space="preserve">. Aquele que não atenda às condições deste Edital e seu(s) anexo(s);</w:t>
      </w:r>
      <w:r>
        <w:rPr>
          <w:rFonts w:ascii="Arial" w:hAnsi="Arial" w:eastAsia="Arial" w:cs="Arial"/>
        </w:rPr>
      </w:r>
    </w:p>
    <w:p w14:paraId="79CA027B"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55CE3300" w14:textId="77777777">
      <w:pPr>
        <w:pBdr/>
        <w:spacing/>
        <w:ind/>
        <w:jc w:val="both"/>
        <w:rPr>
          <w:rFonts w:ascii="Arial" w:hAnsi="Arial" w:eastAsia="Arial" w:cs="Arial"/>
        </w:rPr>
      </w:pPr>
      <w:r>
        <w:rPr>
          <w:rFonts w:ascii="Arial" w:hAnsi="Arial" w:eastAsia="Arial" w:cs="Arial"/>
          <w:b/>
        </w:rPr>
        <w:t xml:space="preserve">4.5.2.</w:t>
      </w:r>
      <w:r>
        <w:rPr>
          <w:rFonts w:ascii="Arial" w:hAnsi="Arial" w:eastAsia="Arial" w:cs="Arial"/>
        </w:rPr>
        <w:t xml:space="preserve"> Aqueles que se encontrem sob falência, concurso de credores, dissolução ou liquidação, ressalvados os que tenham plano de recuperação judicial aprovado em assembleia geral de credores e homologado pelo juiz.</w:t>
      </w:r>
      <w:r>
        <w:rPr>
          <w:rFonts w:ascii="Arial" w:hAnsi="Arial" w:eastAsia="Arial" w:cs="Arial"/>
        </w:rPr>
      </w:r>
    </w:p>
    <w:p w14:paraId="62876CD3"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0066D517" w14:textId="77777777">
      <w:pPr>
        <w:pBdr/>
        <w:spacing/>
        <w:ind/>
        <w:jc w:val="both"/>
        <w:rPr>
          <w:rFonts w:ascii="Arial" w:hAnsi="Arial" w:eastAsia="Arial" w:cs="Arial"/>
          <w:b/>
        </w:rPr>
      </w:pPr>
      <w:r>
        <w:rPr>
          <w:rFonts w:ascii="Arial" w:hAnsi="Arial" w:eastAsia="Arial" w:cs="Arial"/>
          <w:b/>
        </w:rPr>
        <w:t xml:space="preserve">4.5.3. Empresas reunidas em consórcio, qualquer que seja sua forma de constituição.</w:t>
      </w:r>
      <w:r>
        <w:rPr>
          <w:rFonts w:ascii="Arial" w:hAnsi="Arial" w:eastAsia="Arial" w:cs="Arial"/>
          <w:b/>
        </w:rPr>
      </w:r>
    </w:p>
    <w:p w14:paraId="04097F31"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7B61383D" w14:textId="77777777">
      <w:pPr>
        <w:pBdr/>
        <w:spacing/>
        <w:ind/>
        <w:jc w:val="both"/>
        <w:rPr>
          <w:rFonts w:ascii="Arial" w:hAnsi="Arial" w:eastAsia="Arial" w:cs="Arial"/>
        </w:rPr>
      </w:pPr>
      <w:r>
        <w:rPr>
          <w:rFonts w:ascii="Arial" w:hAnsi="Arial" w:eastAsia="Arial" w:cs="Arial"/>
          <w:b/>
        </w:rPr>
        <w:t xml:space="preserve">4.5.3.1. </w:t>
      </w:r>
      <w:r>
        <w:rPr>
          <w:rFonts w:ascii="Arial" w:hAnsi="Arial" w:eastAsia="Arial" w:cs="Arial"/>
        </w:rPr>
        <w:t xml:space="preserve">O presente edital não prevê as condições de participação de empresas reunidas em consórcio, vez que as licitações que demandam essa participação são aquelas que envolvem serviços de grande vulto e/ou de alta complexidade técnica.</w:t>
      </w:r>
      <w:r>
        <w:rPr>
          <w:rFonts w:ascii="Arial" w:hAnsi="Arial" w:eastAsia="Arial" w:cs="Arial"/>
        </w:rPr>
      </w:r>
    </w:p>
    <w:p w14:paraId="5BB788A3" w14:textId="77777777">
      <w:pPr>
        <w:pBdr/>
        <w:spacing/>
        <w:ind/>
        <w:jc w:val="both"/>
        <w:rPr>
          <w:rFonts w:ascii="Arial" w:hAnsi="Arial" w:eastAsia="Arial" w:cs="Arial"/>
        </w:rPr>
      </w:pPr>
      <w:r>
        <w:rPr>
          <w:rFonts w:ascii="Arial" w:hAnsi="Arial" w:eastAsia="Arial" w:cs="Arial"/>
          <w:b/>
        </w:rPr>
        <w:t xml:space="preserve">4.5.4.</w:t>
      </w:r>
      <w:r>
        <w:rPr>
          <w:rFonts w:ascii="Arial" w:hAnsi="Arial" w:eastAsia="Arial" w:cs="Arial"/>
        </w:rPr>
        <w:t xml:space="preserve"> Organizações da Sociedade Civil de Interesse Público - OSCIP, atuando nessa condição;</w:t>
      </w:r>
      <w:r>
        <w:rPr>
          <w:rFonts w:ascii="Arial" w:hAnsi="Arial" w:eastAsia="Arial" w:cs="Arial"/>
        </w:rPr>
      </w:r>
    </w:p>
    <w:p w14:paraId="2B01AE4E"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7A88BF0C" w14:textId="77777777">
      <w:pPr>
        <w:pBdr/>
        <w:spacing/>
        <w:ind/>
        <w:jc w:val="both"/>
        <w:rPr>
          <w:rFonts w:ascii="Arial" w:hAnsi="Arial" w:eastAsia="Arial" w:cs="Arial"/>
        </w:rPr>
      </w:pPr>
      <w:r>
        <w:rPr>
          <w:rFonts w:ascii="Arial" w:hAnsi="Arial" w:eastAsia="Arial" w:cs="Arial"/>
          <w:b/>
        </w:rPr>
        <w:t xml:space="preserve">4.5.5.</w:t>
      </w:r>
      <w:r>
        <w:rPr>
          <w:rFonts w:ascii="Arial" w:hAnsi="Arial" w:eastAsia="Arial" w:cs="Arial"/>
        </w:rPr>
        <w:t xml:space="preserve"> Empresa suspensa de licitar e contratar com a Prefeitura Municipal de Rondonópolis;</w:t>
      </w:r>
      <w:r>
        <w:rPr>
          <w:rFonts w:ascii="Arial" w:hAnsi="Arial" w:eastAsia="Arial" w:cs="Arial"/>
        </w:rPr>
      </w:r>
    </w:p>
    <w:p w14:paraId="6B1631F5"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4D8774EC" w14:textId="77777777">
      <w:pPr>
        <w:pBdr/>
        <w:spacing/>
        <w:ind/>
        <w:jc w:val="both"/>
        <w:rPr>
          <w:rFonts w:ascii="Arial" w:hAnsi="Arial" w:eastAsia="Arial" w:cs="Arial"/>
        </w:rPr>
      </w:pPr>
      <w:r>
        <w:rPr>
          <w:rFonts w:ascii="Arial" w:hAnsi="Arial" w:eastAsia="Arial" w:cs="Arial"/>
          <w:b/>
        </w:rPr>
        <w:t xml:space="preserve">4.5.6.</w:t>
      </w:r>
      <w:r>
        <w:rPr>
          <w:rFonts w:ascii="Arial" w:hAnsi="Arial" w:eastAsia="Arial" w:cs="Arial"/>
        </w:rPr>
        <w:t xml:space="preserve"> Empresa que esteja declarada inidônea para licitar ou contratar com a Administração Pública, enquanto perdurarem os motivos da punição ou até que seja promovida a reabilitação perante a própria autoridade que aplicou a penalidade;</w:t>
      </w:r>
      <w:r>
        <w:rPr>
          <w:rFonts w:ascii="Arial" w:hAnsi="Arial" w:eastAsia="Arial" w:cs="Arial"/>
        </w:rPr>
      </w:r>
    </w:p>
    <w:p w14:paraId="609D5162"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0E47F9AA" w14:textId="77777777">
      <w:pPr>
        <w:pBdr/>
        <w:spacing/>
        <w:ind/>
        <w:jc w:val="both"/>
        <w:rPr>
          <w:rFonts w:ascii="Arial" w:hAnsi="Arial" w:eastAsia="Arial" w:cs="Arial"/>
        </w:rPr>
      </w:pPr>
      <w:r>
        <w:rPr>
          <w:rFonts w:ascii="Arial" w:hAnsi="Arial" w:eastAsia="Arial" w:cs="Arial"/>
          <w:b/>
        </w:rPr>
        <w:t xml:space="preserve">4.5.7.</w:t>
      </w:r>
      <w:r>
        <w:rPr>
          <w:rFonts w:ascii="Arial" w:hAnsi="Arial" w:eastAsia="Arial" w:cs="Arial"/>
        </w:rPr>
        <w:t xml:space="preserve"> Cooperativas, exclusivamente nos casos em que o objeto do certame requer subordinação de mão de obra (Fundamentação: art. 5º da Lei 12.690/12 e acórdãos TCU 1937/03, 307/04, 1148/05);</w:t>
      </w:r>
      <w:r>
        <w:rPr>
          <w:rFonts w:ascii="Arial" w:hAnsi="Arial" w:eastAsia="Arial" w:cs="Arial"/>
        </w:rPr>
      </w:r>
    </w:p>
    <w:p w14:paraId="7A41B929"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466941E5" w14:textId="77777777">
      <w:pPr>
        <w:pBdr/>
        <w:spacing/>
        <w:ind/>
        <w:jc w:val="both"/>
        <w:rPr>
          <w:rFonts w:ascii="Arial" w:hAnsi="Arial" w:eastAsia="Arial" w:cs="Arial"/>
        </w:rPr>
      </w:pPr>
      <w:r>
        <w:rPr>
          <w:rFonts w:ascii="Arial" w:hAnsi="Arial" w:eastAsia="Arial" w:cs="Arial"/>
          <w:b/>
        </w:rPr>
        <w:t xml:space="preserve">4.5.8.</w:t>
      </w:r>
      <w:r>
        <w:rPr>
          <w:rFonts w:ascii="Arial" w:hAnsi="Arial" w:eastAsia="Arial" w:cs="Arial"/>
        </w:rPr>
        <w:t xml:space="preserve"> Cooperativas em que seu objeto social não tem escopo com o objeto do certame. (Fundamentação: art. 10, § 2º da Lei 12.690/12).</w:t>
      </w:r>
      <w:r>
        <w:rPr>
          <w:rFonts w:ascii="Arial" w:hAnsi="Arial" w:eastAsia="Arial" w:cs="Arial"/>
        </w:rPr>
      </w:r>
    </w:p>
    <w:p w14:paraId="4F11CC87"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78E024D1" w14:textId="77777777">
      <w:pPr>
        <w:pBdr/>
        <w:spacing/>
        <w:ind/>
        <w:jc w:val="both"/>
        <w:rPr>
          <w:rFonts w:ascii="Arial" w:hAnsi="Arial" w:eastAsia="Arial" w:cs="Arial"/>
        </w:rPr>
      </w:pPr>
      <w:r>
        <w:rPr>
          <w:rFonts w:ascii="Arial" w:hAnsi="Arial" w:eastAsia="Arial" w:cs="Arial"/>
          <w:b/>
        </w:rPr>
        <w:t xml:space="preserve">4.5.9.</w:t>
      </w:r>
      <w:r>
        <w:rPr>
          <w:rFonts w:ascii="Arial" w:hAnsi="Arial" w:eastAsia="Arial" w:cs="Arial"/>
        </w:rPr>
        <w:t xml:space="preserve"> Empresas controladoras, controladas ou coligadas, nos termos da Lei Federal nº 6.404, de 15 de dezembro de 1976, concorrendo entre si;</w:t>
      </w:r>
      <w:r>
        <w:rPr>
          <w:rFonts w:ascii="Arial" w:hAnsi="Arial" w:eastAsia="Arial" w:cs="Arial"/>
        </w:rPr>
      </w:r>
    </w:p>
    <w:p w14:paraId="49F15498"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4A472FFF" w14:textId="77777777">
      <w:pPr>
        <w:pBdr/>
        <w:spacing/>
        <w:ind/>
        <w:jc w:val="both"/>
        <w:rPr>
          <w:rFonts w:ascii="Arial" w:hAnsi="Arial" w:eastAsia="Arial" w:cs="Arial"/>
        </w:rPr>
      </w:pPr>
      <w:r>
        <w:rPr>
          <w:rFonts w:ascii="Arial" w:hAnsi="Arial" w:eastAsia="Arial" w:cs="Arial"/>
          <w:b/>
        </w:rPr>
        <w:t xml:space="preserve">4.5.10.</w:t>
      </w:r>
      <w:r>
        <w:rPr>
          <w:rFonts w:ascii="Arial" w:hAnsi="Arial" w:eastAsia="Arial" w:cs="Arial"/>
        </w:rPr>
        <w:t xml:space="preserve"> Empresas estrangeiras que não funcionem no País.</w:t>
      </w:r>
      <w:r>
        <w:rPr>
          <w:rFonts w:ascii="Arial" w:hAnsi="Arial" w:eastAsia="Arial" w:cs="Arial"/>
        </w:rPr>
      </w:r>
    </w:p>
    <w:p w14:paraId="28092F3E"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03661CB1" w14:textId="77777777">
      <w:pPr>
        <w:pBdr/>
        <w:spacing/>
        <w:ind/>
        <w:jc w:val="both"/>
        <w:rPr>
          <w:rFonts w:ascii="Arial" w:hAnsi="Arial" w:eastAsia="Arial" w:cs="Arial"/>
        </w:rPr>
      </w:pPr>
      <w:r>
        <w:rPr>
          <w:rFonts w:ascii="Arial" w:hAnsi="Arial" w:eastAsia="Arial" w:cs="Arial"/>
          <w:b/>
        </w:rPr>
        <w:t xml:space="preserve">4.5.11</w:t>
      </w:r>
      <w:r>
        <w:rPr>
          <w:rFonts w:ascii="Arial" w:hAnsi="Arial" w:eastAsia="Arial" w:cs="Arial"/>
        </w:rPr>
        <w:t xml:space="preserve">. Pessoa física ou jurídica que se encontre, ao tempo da licitação, impossibilitada de participar da licitação em decorrência de sanção que lhe foi imposta, aplicad</w:t>
      </w:r>
      <w:r>
        <w:rPr>
          <w:rFonts w:ascii="Arial" w:hAnsi="Arial" w:eastAsia="Arial" w:cs="Arial"/>
        </w:rPr>
        <w:t xml:space="preserve">o também ao licitante que atue em substituição a outra pessoa física ou jurídica, com o intuito de burlar a efetividade da sanção a ela aplicada, desde que devidamente comprovado o ilícito ou a utilização fraudulenta da personalidade jurídica do licitante.</w:t>
      </w:r>
      <w:r>
        <w:rPr>
          <w:rFonts w:ascii="Arial" w:hAnsi="Arial" w:eastAsia="Arial" w:cs="Arial"/>
        </w:rPr>
      </w:r>
    </w:p>
    <w:p w14:paraId="7F676A7E"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3D6D6CD1" w14:textId="77777777">
      <w:pPr>
        <w:pBdr/>
        <w:spacing/>
        <w:ind/>
        <w:jc w:val="both"/>
        <w:rPr>
          <w:rFonts w:ascii="Arial" w:hAnsi="Arial" w:eastAsia="Arial" w:cs="Arial"/>
        </w:rPr>
      </w:pPr>
      <w:r>
        <w:rPr>
          <w:rFonts w:ascii="Arial" w:hAnsi="Arial" w:eastAsia="Arial" w:cs="Arial"/>
          <w:b/>
        </w:rPr>
        <w:t xml:space="preserve">4.5.12.</w:t>
      </w:r>
      <w:r>
        <w:rPr>
          <w:rFonts w:ascii="Arial" w:hAnsi="Arial" w:eastAsia="Arial" w:cs="Arial"/>
        </w:rPr>
        <w:t xml:space="preserve"> Aquele que mantenha vínculo de natureza técnica, comercial, econômica, financeira, trabalhista ou</w:t>
      </w:r>
      <w:r>
        <w:rPr>
          <w:rFonts w:ascii="Arial" w:hAnsi="Arial" w:eastAsia="Arial" w:cs="Arial"/>
        </w:rPr>
        <w:t xml:space="preserve"> civil com dirigente do contratante ou com agente público que desempenhe função na licitação ou atue na fiscalização ou na gestão do contrato, ou que deles seja cônjuge, companheiro ou parente em linha reta, colateral ou por afinidade, até o terceiro grau.</w:t>
      </w:r>
      <w:r>
        <w:rPr>
          <w:rFonts w:ascii="Arial" w:hAnsi="Arial" w:eastAsia="Arial" w:cs="Arial"/>
        </w:rPr>
      </w:r>
    </w:p>
    <w:p w14:paraId="29F4704F"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21854D22" w14:textId="77777777">
      <w:pPr>
        <w:pBdr/>
        <w:spacing/>
        <w:ind/>
        <w:jc w:val="both"/>
        <w:rPr>
          <w:rFonts w:ascii="Arial" w:hAnsi="Arial" w:eastAsia="Arial" w:cs="Arial"/>
        </w:rPr>
      </w:pPr>
      <w:r>
        <w:rPr>
          <w:rFonts w:ascii="Arial" w:hAnsi="Arial" w:eastAsia="Arial" w:cs="Arial"/>
          <w:b/>
        </w:rPr>
        <w:t xml:space="preserve">4.5.13.</w:t>
      </w:r>
      <w:r>
        <w:rPr>
          <w:rFonts w:ascii="Arial" w:hAnsi="Arial" w:eastAsia="Arial" w:cs="Arial"/>
        </w:rPr>
        <w:t xml:space="preserve"> Pessoa física ou jurídica que, nos 05 (cinco) anos anteriores à divulgação </w:t>
      </w:r>
      <w:r>
        <w:rPr>
          <w:rFonts w:ascii="Arial" w:hAnsi="Arial" w:eastAsia="Arial" w:cs="Arial"/>
        </w:rPr>
        <w:t xml:space="preserve">do Edital, tenha sido condenada judicialmente, com trânsito em julgado, por exploração de trabalho infantil, por submissão de trabalhadores a condições análogas às de escravo ou por contratação de adolescentes nos casos vedados pela legislação trabalhista.</w:t>
      </w:r>
      <w:r>
        <w:rPr>
          <w:rFonts w:ascii="Arial" w:hAnsi="Arial" w:eastAsia="Arial" w:cs="Arial"/>
        </w:rPr>
      </w:r>
    </w:p>
    <w:p w14:paraId="11ECE14E"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478C198B" w14:textId="77777777">
      <w:pPr>
        <w:pBdr/>
        <w:spacing/>
        <w:ind/>
        <w:jc w:val="both"/>
        <w:rPr>
          <w:rFonts w:ascii="Arial" w:hAnsi="Arial" w:eastAsia="Arial" w:cs="Arial"/>
        </w:rPr>
      </w:pPr>
      <w:r>
        <w:rPr>
          <w:rFonts w:ascii="Arial" w:hAnsi="Arial" w:eastAsia="Arial" w:cs="Arial"/>
          <w:b/>
        </w:rPr>
        <w:t xml:space="preserve">4.5.14.</w:t>
      </w:r>
      <w:r>
        <w:rPr>
          <w:rFonts w:ascii="Arial" w:hAnsi="Arial" w:eastAsia="Arial" w:cs="Arial"/>
        </w:rPr>
        <w:t xml:space="preserve"> Não poderá participar, direta ou indiretamente, da licitação ou da execução do contrato agente público do órgão ou ent</w:t>
      </w:r>
      <w:r>
        <w:rPr>
          <w:rFonts w:ascii="Arial" w:hAnsi="Arial" w:eastAsia="Arial" w:cs="Arial"/>
        </w:rPr>
        <w:t xml:space="preserve">idade contratante, devendo ser observadas as situações que possam configurar conflito de interesses no exercício ou após o exercício do cargo ou emprego, nos termos da legislação que disciplina a matéria, conforme § 1º do art. 9º da Lei nº 14.133, de 2021.</w:t>
      </w:r>
      <w:r>
        <w:rPr>
          <w:rFonts w:ascii="Arial" w:hAnsi="Arial" w:eastAsia="Arial" w:cs="Arial"/>
        </w:rPr>
      </w:r>
    </w:p>
    <w:p w14:paraId="64BCC9C7"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3995C0CB" w14:textId="77777777">
      <w:pPr>
        <w:pBdr/>
        <w:spacing/>
        <w:ind/>
        <w:jc w:val="both"/>
        <w:rPr>
          <w:rFonts w:ascii="Arial" w:hAnsi="Arial" w:eastAsia="Arial" w:cs="Arial"/>
        </w:rPr>
      </w:pPr>
      <w:r>
        <w:rPr>
          <w:rFonts w:ascii="Arial" w:hAnsi="Arial" w:eastAsia="Arial" w:cs="Arial"/>
          <w:b/>
        </w:rPr>
        <w:t xml:space="preserve">4.5.15.</w:t>
      </w:r>
      <w:r>
        <w:rPr>
          <w:rFonts w:ascii="Arial" w:hAnsi="Arial" w:eastAsia="Arial" w:cs="Arial"/>
        </w:rPr>
        <w:t xml:space="preserve"> A vedação estabelecida no item anterior estende-se a terceiro que auxilie a condução da contratação na qualidade de integrante de equipe de apoio, profissional especializado ou funcionário ou representante de empresa que preste assessoria técnica.</w:t>
      </w:r>
      <w:r>
        <w:rPr>
          <w:rFonts w:ascii="Arial" w:hAnsi="Arial" w:eastAsia="Arial" w:cs="Arial"/>
        </w:rPr>
      </w:r>
    </w:p>
    <w:p w14:paraId="4111FBFF"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69FD2DB7" w14:textId="77777777">
      <w:pPr>
        <w:pStyle w:val="882"/>
        <w:pBdr/>
        <w:spacing w:after="0" w:before="0"/>
        <w:ind/>
        <w:rPr>
          <w:sz w:val="20"/>
          <w:szCs w:val="20"/>
          <w:lang w:val="pt-BR"/>
        </w:rPr>
      </w:pPr>
      <w:r/>
      <w:bookmarkStart w:id="9" w:name="_heading=h.yoiged1uytkh"/>
      <w:r/>
      <w:bookmarkEnd w:id="9"/>
      <w:r>
        <w:rPr>
          <w:sz w:val="20"/>
          <w:szCs w:val="20"/>
          <w:lang w:val="pt-BR"/>
        </w:rPr>
        <w:t xml:space="preserve">5. DO CREDENCIAMENTO: </w:t>
      </w:r>
      <w:r>
        <w:rPr>
          <w:sz w:val="20"/>
          <w:szCs w:val="20"/>
          <w:lang w:val="pt-BR"/>
        </w:rPr>
      </w:r>
    </w:p>
    <w:p w14:paraId="30CFBBA5"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2C5E6D94" w14:textId="77777777">
      <w:pPr>
        <w:pBdr/>
        <w:spacing/>
        <w:ind/>
        <w:jc w:val="both"/>
        <w:rPr>
          <w:rFonts w:ascii="Arial" w:hAnsi="Arial" w:eastAsia="Arial" w:cs="Arial"/>
          <w:b/>
        </w:rPr>
      </w:pPr>
      <w:r>
        <w:rPr>
          <w:rFonts w:ascii="Arial" w:hAnsi="Arial" w:eastAsia="Arial" w:cs="Arial"/>
          <w:b/>
        </w:rPr>
        <w:t xml:space="preserve">5.1.</w:t>
      </w:r>
      <w:r>
        <w:rPr>
          <w:rFonts w:ascii="Arial" w:hAnsi="Arial" w:eastAsia="Arial" w:cs="Arial"/>
        </w:rPr>
        <w:t xml:space="preserve"> Para participação da licitação ou simples acompanhá-la, o interessado deverá acessar, na internet, a página </w:t>
      </w:r>
      <w:r>
        <w:rPr>
          <w:rFonts w:ascii="Arial" w:hAnsi="Arial" w:eastAsia="Arial" w:cs="Arial"/>
          <w:b/>
        </w:rPr>
        <w:t xml:space="preserve">bllcompras.com</w:t>
      </w:r>
      <w:r>
        <w:rPr>
          <w:rFonts w:ascii="Arial" w:hAnsi="Arial" w:eastAsia="Arial" w:cs="Arial"/>
        </w:rPr>
        <w:t xml:space="preserve">, onde se encontra o link para o “</w:t>
      </w:r>
      <w:r>
        <w:rPr>
          <w:rFonts w:ascii="Arial" w:hAnsi="Arial" w:eastAsia="Arial" w:cs="Arial"/>
          <w:b/>
        </w:rPr>
        <w:t xml:space="preserve">Acesso Identificado</w:t>
      </w:r>
      <w:r>
        <w:rPr>
          <w:rFonts w:ascii="Arial" w:hAnsi="Arial" w:eastAsia="Arial" w:cs="Arial"/>
        </w:rPr>
        <w:t xml:space="preserve">”, deverão dispor de chave de identificação e de senha pessoais e intransferíveis, obtidas junto à </w:t>
      </w:r>
      <w:r>
        <w:rPr>
          <w:rFonts w:ascii="Arial" w:hAnsi="Arial" w:eastAsia="Arial" w:cs="Arial"/>
          <w:b/>
        </w:rPr>
        <w:t xml:space="preserve">BLL – Bolsa de Licitações e Leilões: </w:t>
      </w:r>
      <w:hyperlink r:id="rId17" w:tooltip="http://www.bllcompras.org.br/" w:history="1">
        <w:r>
          <w:rPr>
            <w:rFonts w:ascii="Arial" w:hAnsi="Arial" w:eastAsia="Arial" w:cs="Arial"/>
            <w:b/>
            <w:color w:val="0000ff"/>
            <w:u w:val="single"/>
          </w:rPr>
          <w:t xml:space="preserve">bllcompras.com</w:t>
        </w:r>
      </w:hyperlink>
      <w:r>
        <w:rPr>
          <w:rFonts w:ascii="Arial" w:hAnsi="Arial" w:eastAsia="Arial" w:cs="Arial"/>
          <w:b/>
        </w:rPr>
        <w:t xml:space="preserve">. </w:t>
      </w:r>
      <w:r>
        <w:rPr>
          <w:rFonts w:ascii="Arial" w:hAnsi="Arial" w:eastAsia="Arial" w:cs="Arial"/>
          <w:b/>
        </w:rPr>
      </w:r>
    </w:p>
    <w:p w14:paraId="3D9E88EE"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05F7D4DA" w14:textId="77777777">
      <w:pPr>
        <w:pBdr/>
        <w:spacing/>
        <w:ind/>
        <w:jc w:val="both"/>
        <w:rPr>
          <w:rFonts w:ascii="Arial" w:hAnsi="Arial" w:eastAsia="Arial" w:cs="Arial"/>
        </w:rPr>
      </w:pPr>
      <w:r>
        <w:rPr>
          <w:rFonts w:ascii="Arial" w:hAnsi="Arial" w:eastAsia="Arial" w:cs="Arial"/>
          <w:b/>
        </w:rPr>
        <w:t xml:space="preserve">5.2.</w:t>
      </w:r>
      <w:r>
        <w:rPr>
          <w:rFonts w:ascii="Arial" w:hAnsi="Arial" w:eastAsia="Arial" w:cs="Arial"/>
        </w:rPr>
        <w:t xml:space="preserve"> As propostas comerciais e os documentos exigidos para habilitação poderão ser cadastrados até </w:t>
      </w:r>
      <w:r>
        <w:rPr>
          <w:rFonts w:ascii="Arial" w:hAnsi="Arial" w:eastAsia="Arial" w:cs="Arial"/>
          <w:b/>
        </w:rPr>
        <w:t xml:space="preserve">meia hora antes</w:t>
      </w:r>
      <w:r>
        <w:rPr>
          <w:rFonts w:ascii="Arial" w:hAnsi="Arial" w:eastAsia="Arial" w:cs="Arial"/>
        </w:rPr>
        <w:t xml:space="preserve"> do horário estabelecido no preambulo deste edital </w:t>
      </w:r>
      <w:r>
        <w:rPr>
          <w:rFonts w:ascii="Arial" w:hAnsi="Arial" w:eastAsia="Arial" w:cs="Arial"/>
          <w:b/>
          <w:color w:val="000000"/>
        </w:rPr>
        <w:t xml:space="preserve">(horário de Brasília) </w:t>
      </w:r>
      <w:r>
        <w:rPr>
          <w:rFonts w:ascii="Arial" w:hAnsi="Arial" w:eastAsia="Arial" w:cs="Arial"/>
        </w:rPr>
        <w:t xml:space="preserve">por meio do endereço </w:t>
      </w:r>
      <w:r>
        <w:rPr>
          <w:rFonts w:ascii="Arial" w:hAnsi="Arial" w:eastAsia="Arial" w:cs="Arial"/>
          <w:b/>
        </w:rPr>
        <w:t xml:space="preserve">bllcompras.com</w:t>
      </w:r>
      <w:r>
        <w:rPr>
          <w:rFonts w:ascii="Arial" w:hAnsi="Arial" w:eastAsia="Arial" w:cs="Arial"/>
        </w:rPr>
        <w:t xml:space="preserve">, onde se encontra o link para o “</w:t>
      </w:r>
      <w:r>
        <w:rPr>
          <w:rFonts w:ascii="Arial" w:hAnsi="Arial" w:eastAsia="Arial" w:cs="Arial"/>
          <w:b/>
        </w:rPr>
        <w:t xml:space="preserve">Acesso Identificado</w:t>
      </w:r>
      <w:r>
        <w:rPr>
          <w:rFonts w:ascii="Arial" w:hAnsi="Arial" w:eastAsia="Arial" w:cs="Arial"/>
        </w:rPr>
        <w:t xml:space="preserve">”, podendo os interessados cadastrar ou substituir propostas no sistema eletrônico; </w:t>
      </w:r>
      <w:r>
        <w:rPr>
          <w:rFonts w:ascii="Arial" w:hAnsi="Arial" w:eastAsia="Arial" w:cs="Arial"/>
        </w:rPr>
      </w:r>
    </w:p>
    <w:p w14:paraId="0FAD6020"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094D768F" w14:textId="77777777">
      <w:pPr>
        <w:pBdr/>
        <w:spacing/>
        <w:ind/>
        <w:jc w:val="both"/>
        <w:rPr>
          <w:rFonts w:ascii="Arial" w:hAnsi="Arial" w:eastAsia="Arial" w:cs="Arial"/>
        </w:rPr>
      </w:pPr>
      <w:r>
        <w:rPr>
          <w:rFonts w:ascii="Arial" w:hAnsi="Arial" w:eastAsia="Arial" w:cs="Arial"/>
          <w:b/>
        </w:rPr>
        <w:t xml:space="preserve">5.2.1.</w:t>
      </w:r>
      <w:r>
        <w:rPr>
          <w:rFonts w:ascii="Arial" w:hAnsi="Arial" w:eastAsia="Arial" w:cs="Arial"/>
        </w:rPr>
        <w:t xml:space="preserve"> Eventuais </w:t>
      </w:r>
      <w:r>
        <w:rPr>
          <w:rFonts w:ascii="Arial" w:hAnsi="Arial" w:eastAsia="Arial" w:cs="Arial"/>
          <w:b/>
        </w:rPr>
        <w:t xml:space="preserve">dúvidas para obtenção da senha</w:t>
      </w:r>
      <w:r>
        <w:rPr>
          <w:rFonts w:ascii="Arial" w:hAnsi="Arial" w:eastAsia="Arial" w:cs="Arial"/>
        </w:rPr>
        <w:t xml:space="preserve"> de acesso ou qualquer problema com o cadastramento das propostas, o licitante deverá entrar em contato com a </w:t>
      </w:r>
      <w:r>
        <w:rPr>
          <w:rFonts w:ascii="Arial" w:hAnsi="Arial" w:eastAsia="Arial" w:cs="Arial"/>
          <w:b/>
        </w:rPr>
        <w:t xml:space="preserve">BLL </w:t>
      </w:r>
      <w:r>
        <w:rPr>
          <w:rFonts w:ascii="Arial" w:hAnsi="Arial" w:eastAsia="Arial" w:cs="Arial"/>
        </w:rPr>
        <w:t xml:space="preserve">pelos telefones </w:t>
      </w:r>
      <w:r>
        <w:rPr>
          <w:rFonts w:ascii="Arial" w:hAnsi="Arial" w:eastAsia="Arial" w:cs="Arial"/>
          <w:b/>
        </w:rPr>
        <w:t xml:space="preserve">(041) 3097-4600; 3097-4623; 3097-4646; 3148-9870</w:t>
      </w:r>
      <w:r>
        <w:rPr>
          <w:rFonts w:ascii="Arial" w:hAnsi="Arial" w:eastAsia="Arial" w:cs="Arial"/>
        </w:rPr>
        <w:t xml:space="preserve"> pois é de inteira responsabilidade da mesma em sanar problemas relacionados com o sistema; </w:t>
      </w:r>
      <w:r>
        <w:rPr>
          <w:rFonts w:ascii="Arial" w:hAnsi="Arial" w:eastAsia="Arial" w:cs="Arial"/>
        </w:rPr>
      </w:r>
    </w:p>
    <w:p w14:paraId="7BC9F1A3"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0D47E212" w14:textId="77777777">
      <w:pPr>
        <w:pBdr/>
        <w:spacing/>
        <w:ind/>
        <w:jc w:val="both"/>
        <w:rPr>
          <w:rFonts w:ascii="Arial" w:hAnsi="Arial" w:eastAsia="Arial" w:cs="Arial"/>
        </w:rPr>
      </w:pPr>
      <w:r>
        <w:rPr>
          <w:rFonts w:ascii="Arial" w:hAnsi="Arial" w:eastAsia="Arial" w:cs="Arial"/>
          <w:b/>
        </w:rPr>
        <w:t xml:space="preserve">5.3. </w:t>
      </w:r>
      <w:r>
        <w:rPr>
          <w:rFonts w:ascii="Arial" w:hAnsi="Arial" w:eastAsia="Arial" w:cs="Arial"/>
        </w:rPr>
        <w:t xml:space="preserve">A chave de identificação e senha poderão ser utilizadas em qualquer pregão eletrônico, salvo quando canceladas por solicitação do credenciado ou por iniciativa da BLL, devidamente justificado. </w:t>
      </w:r>
      <w:r>
        <w:rPr>
          <w:rFonts w:ascii="Arial" w:hAnsi="Arial" w:eastAsia="Arial" w:cs="Arial"/>
        </w:rPr>
      </w:r>
    </w:p>
    <w:p w14:paraId="19B876BA"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54AF7B29" w14:textId="77777777">
      <w:pPr>
        <w:pBdr/>
        <w:spacing/>
        <w:ind/>
        <w:jc w:val="both"/>
        <w:rPr>
          <w:rFonts w:ascii="Arial" w:hAnsi="Arial" w:eastAsia="Arial" w:cs="Arial"/>
        </w:rPr>
      </w:pPr>
      <w:r>
        <w:rPr>
          <w:rFonts w:ascii="Arial" w:hAnsi="Arial" w:eastAsia="Arial" w:cs="Arial"/>
          <w:b/>
        </w:rPr>
        <w:t xml:space="preserve">5.4.</w:t>
      </w:r>
      <w:r>
        <w:rPr>
          <w:rFonts w:ascii="Arial" w:hAnsi="Arial" w:eastAsia="Arial" w:cs="Arial"/>
        </w:rPr>
        <w:t xml:space="preserve"> É de exclusiva responsabilidade do usuário o sigilo da se</w:t>
      </w:r>
      <w:r>
        <w:rPr>
          <w:rFonts w:ascii="Arial" w:hAnsi="Arial" w:eastAsia="Arial" w:cs="Arial"/>
        </w:rPr>
        <w:t xml:space="preserve">nha, bem como seu uso em qualquer transação efetuada diretamente ou por seu representante, não cabendo à Prefeitura Municipal de Rondonópolis-MT e/ou BLL, a responsabilidade por eventuais danos decorrentes de uso indevido da senha, ainda que por terceiros.</w:t>
      </w:r>
      <w:r>
        <w:rPr>
          <w:rFonts w:ascii="Arial" w:hAnsi="Arial" w:eastAsia="Arial" w:cs="Arial"/>
        </w:rPr>
      </w:r>
    </w:p>
    <w:p w14:paraId="6B14B992" w14:textId="77777777">
      <w:pPr>
        <w:pBdr/>
        <w:spacing/>
        <w:ind/>
        <w:jc w:val="both"/>
        <w:rPr>
          <w:rFonts w:ascii="Arial" w:hAnsi="Arial" w:eastAsia="Arial" w:cs="Arial"/>
        </w:rPr>
      </w:pPr>
      <w:r>
        <w:rPr>
          <w:rFonts w:ascii="Arial" w:hAnsi="Arial" w:eastAsia="Arial" w:cs="Arial"/>
        </w:rPr>
        <w:t xml:space="preserve"> </w:t>
      </w:r>
      <w:r>
        <w:rPr>
          <w:rFonts w:ascii="Arial" w:hAnsi="Arial" w:eastAsia="Arial" w:cs="Arial"/>
        </w:rPr>
      </w:r>
    </w:p>
    <w:p w14:paraId="1520028A" w14:textId="77777777">
      <w:pPr>
        <w:pBdr/>
        <w:spacing/>
        <w:ind/>
        <w:jc w:val="both"/>
        <w:rPr>
          <w:rFonts w:ascii="Arial" w:hAnsi="Arial" w:eastAsia="Arial" w:cs="Arial"/>
        </w:rPr>
      </w:pPr>
      <w:r>
        <w:rPr>
          <w:rFonts w:ascii="Arial" w:hAnsi="Arial" w:eastAsia="Arial" w:cs="Arial"/>
          <w:b/>
        </w:rPr>
        <w:t xml:space="preserve">5.5.</w:t>
      </w:r>
      <w:r>
        <w:rPr>
          <w:rFonts w:ascii="Arial" w:hAnsi="Arial" w:eastAsia="Arial" w:cs="Arial"/>
        </w:rPr>
        <w:t xml:space="preserve"> O credenciamento do fornecedor e de seu representante legal junto ao sistema eletrônico implica a responsabilidade legal pelos atos praticados e a presunção de capacidade técnica para realização das transações inerentes ao pregão eletrônico.</w:t>
      </w:r>
      <w:r>
        <w:rPr>
          <w:rFonts w:ascii="Arial" w:hAnsi="Arial" w:eastAsia="Arial" w:cs="Arial"/>
        </w:rPr>
      </w:r>
    </w:p>
    <w:p w14:paraId="080E1C36"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205D0050" w14:textId="77777777">
      <w:pPr>
        <w:pBdr/>
        <w:spacing/>
        <w:ind/>
        <w:jc w:val="both"/>
        <w:rPr>
          <w:rFonts w:ascii="Arial" w:hAnsi="Arial" w:eastAsia="Arial" w:cs="Arial"/>
        </w:rPr>
      </w:pPr>
      <w:r>
        <w:rPr>
          <w:rFonts w:ascii="Arial" w:hAnsi="Arial" w:eastAsia="Arial" w:cs="Arial"/>
          <w:b/>
        </w:rPr>
        <w:t xml:space="preserve">5.6.</w:t>
      </w:r>
      <w:r>
        <w:rPr>
          <w:rFonts w:ascii="Arial" w:hAnsi="Arial" w:eastAsia="Arial" w:cs="Arial"/>
        </w:rPr>
        <w:t xml:space="preserve"> Como requisito para participação deste Pregão Eletrônico, o Licitante deverá manifestar, em campo próprio do Sistema BLL, que sua proposta</w:t>
      </w:r>
      <w:r>
        <w:rPr>
          <w:rFonts w:ascii="Arial" w:hAnsi="Arial" w:eastAsia="Arial" w:cs="Arial"/>
        </w:rPr>
        <w:t xml:space="preserve"> se encontra em conformidade com as exigências previstas e cumpre plenamente os requisitos de habilitação deste Edital, ressalvados os casos de participação de microempresa e de empresa de pequeno porte, no que concerne a regularidade fiscal e trabalhista.</w:t>
      </w:r>
      <w:r>
        <w:rPr>
          <w:rFonts w:ascii="Arial" w:hAnsi="Arial" w:eastAsia="Arial" w:cs="Arial"/>
        </w:rPr>
      </w:r>
    </w:p>
    <w:p w14:paraId="2AE1B57C"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2FFC2745" w14:textId="77777777">
      <w:pPr>
        <w:pBdr/>
        <w:spacing/>
        <w:ind/>
        <w:jc w:val="both"/>
        <w:rPr>
          <w:rFonts w:ascii="Arial" w:hAnsi="Arial" w:eastAsia="Arial" w:cs="Arial"/>
        </w:rPr>
      </w:pPr>
      <w:r>
        <w:rPr>
          <w:rFonts w:ascii="Arial" w:hAnsi="Arial" w:eastAsia="Arial" w:cs="Arial"/>
          <w:b/>
        </w:rPr>
        <w:t xml:space="preserve">5.7.</w:t>
      </w:r>
      <w:r>
        <w:rPr>
          <w:rFonts w:ascii="Arial" w:hAnsi="Arial" w:eastAsia="Arial" w:cs="Arial"/>
        </w:rPr>
        <w:t xml:space="preserve"> Em se tratando de microempresa e empresa de pequeno porte, nos termos da </w:t>
      </w:r>
      <w:r>
        <w:rPr>
          <w:rFonts w:ascii="Arial" w:hAnsi="Arial" w:eastAsia="Arial" w:cs="Arial"/>
          <w:b/>
        </w:rPr>
        <w:t xml:space="preserve">Lei Complementar nº 123, de 14.12.2006, alterada pela Lei complementar 147/2014, de 07.08.2014,</w:t>
      </w:r>
      <w:r>
        <w:rPr>
          <w:rFonts w:ascii="Arial" w:hAnsi="Arial" w:eastAsia="Arial" w:cs="Arial"/>
        </w:rPr>
        <w:t xml:space="preserve"> para que essa possa gozar dos </w:t>
      </w:r>
      <w:r>
        <w:rPr>
          <w:rFonts w:ascii="Arial" w:hAnsi="Arial" w:eastAsia="Arial" w:cs="Arial"/>
          <w:b/>
        </w:rPr>
        <w:t xml:space="preserve">benefícios previstos no capítulo V</w:t>
      </w:r>
      <w:r>
        <w:rPr>
          <w:rFonts w:ascii="Arial" w:hAnsi="Arial" w:eastAsia="Arial" w:cs="Arial"/>
        </w:rPr>
        <w:t xml:space="preserve"> da referida Lei, é necessário, à época do credenciamento acrescentar as expressões “</w:t>
      </w:r>
      <w:r>
        <w:rPr>
          <w:rFonts w:ascii="Arial" w:hAnsi="Arial" w:eastAsia="Arial" w:cs="Arial"/>
          <w:b/>
        </w:rPr>
        <w:t xml:space="preserve">Microempresa</w:t>
      </w:r>
      <w:r>
        <w:rPr>
          <w:rFonts w:ascii="Arial" w:hAnsi="Arial" w:eastAsia="Arial" w:cs="Arial"/>
        </w:rPr>
        <w:t xml:space="preserve">” ou “</w:t>
      </w:r>
      <w:r>
        <w:rPr>
          <w:rFonts w:ascii="Arial" w:hAnsi="Arial" w:eastAsia="Arial" w:cs="Arial"/>
          <w:b/>
        </w:rPr>
        <w:t xml:space="preserve">Empresa de Pequeno Porte</w:t>
      </w:r>
      <w:r>
        <w:rPr>
          <w:rFonts w:ascii="Arial" w:hAnsi="Arial" w:eastAsia="Arial" w:cs="Arial"/>
        </w:rPr>
        <w:t xml:space="preserve">” ou suas respectivas abreviações, “</w:t>
      </w:r>
      <w:r>
        <w:rPr>
          <w:rFonts w:ascii="Arial" w:hAnsi="Arial" w:eastAsia="Arial" w:cs="Arial"/>
          <w:b/>
        </w:rPr>
        <w:t xml:space="preserve">ME</w:t>
      </w:r>
      <w:r>
        <w:rPr>
          <w:rFonts w:ascii="Arial" w:hAnsi="Arial" w:eastAsia="Arial" w:cs="Arial"/>
        </w:rPr>
        <w:t xml:space="preserve">” ou “</w:t>
      </w:r>
      <w:r>
        <w:rPr>
          <w:rFonts w:ascii="Arial" w:hAnsi="Arial" w:eastAsia="Arial" w:cs="Arial"/>
          <w:b/>
        </w:rPr>
        <w:t xml:space="preserve">EPP</w:t>
      </w:r>
      <w:r>
        <w:rPr>
          <w:rFonts w:ascii="Arial" w:hAnsi="Arial" w:eastAsia="Arial" w:cs="Arial"/>
        </w:rPr>
        <w:t xml:space="preserve">”, à sua firma ou denominação conforme o caso. </w:t>
      </w:r>
      <w:r>
        <w:rPr>
          <w:rFonts w:ascii="Arial" w:hAnsi="Arial" w:eastAsia="Arial" w:cs="Arial"/>
        </w:rPr>
      </w:r>
    </w:p>
    <w:p w14:paraId="777B5802"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51EC2BAD" w14:textId="77777777">
      <w:pPr>
        <w:pBdr/>
        <w:spacing/>
        <w:ind/>
        <w:jc w:val="both"/>
        <w:rPr>
          <w:rFonts w:ascii="Arial" w:hAnsi="Arial" w:eastAsia="Arial" w:cs="Arial"/>
        </w:rPr>
      </w:pPr>
      <w:r>
        <w:rPr>
          <w:rFonts w:ascii="Arial" w:hAnsi="Arial" w:eastAsia="Arial" w:cs="Arial"/>
          <w:b/>
        </w:rPr>
        <w:t xml:space="preserve">5.7.1.</w:t>
      </w:r>
      <w:r>
        <w:rPr>
          <w:rFonts w:ascii="Arial" w:hAnsi="Arial" w:eastAsia="Arial" w:cs="Arial"/>
        </w:rPr>
        <w:t xml:space="preserve"> Caso o proponente já esteja cadastrado no Sistema e não constem os dados acima em sua firma ou denominação, deverá providenciar a alteração de seu cadastro no Sistema. Para tanto, deverá dirigir-se á </w:t>
      </w:r>
      <w:r>
        <w:rPr>
          <w:rFonts w:ascii="Arial" w:hAnsi="Arial" w:eastAsia="Arial" w:cs="Arial"/>
          <w:b/>
        </w:rPr>
        <w:t xml:space="preserve">BLL</w:t>
      </w:r>
      <w:r>
        <w:rPr>
          <w:rFonts w:ascii="Arial" w:hAnsi="Arial" w:eastAsia="Arial" w:cs="Arial"/>
        </w:rPr>
        <w:t xml:space="preserve">. </w:t>
      </w:r>
      <w:r>
        <w:rPr>
          <w:rFonts w:ascii="Arial" w:hAnsi="Arial" w:eastAsia="Arial" w:cs="Arial"/>
        </w:rPr>
      </w:r>
    </w:p>
    <w:p w14:paraId="6C547BDD"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0020BC55" w14:textId="77777777">
      <w:pPr>
        <w:pBdr/>
        <w:spacing/>
        <w:ind/>
        <w:jc w:val="both"/>
        <w:rPr>
          <w:rFonts w:ascii="Arial" w:hAnsi="Arial" w:eastAsia="Arial" w:cs="Arial"/>
        </w:rPr>
      </w:pPr>
      <w:r>
        <w:rPr>
          <w:rFonts w:ascii="Arial" w:hAnsi="Arial" w:eastAsia="Arial" w:cs="Arial"/>
          <w:b/>
        </w:rPr>
        <w:t xml:space="preserve">5.8.</w:t>
      </w:r>
      <w:r>
        <w:rPr>
          <w:rFonts w:ascii="Arial" w:hAnsi="Arial" w:eastAsia="Arial" w:cs="Arial"/>
        </w:rPr>
        <w:t xml:space="preserve"> É vedado a qualquer credenciado representar mais de uma empresa proponente, salvo, nos casos de representação para itens/lotes distintos.</w:t>
      </w:r>
      <w:r>
        <w:rPr>
          <w:rFonts w:ascii="Arial" w:hAnsi="Arial" w:eastAsia="Arial" w:cs="Arial"/>
        </w:rPr>
      </w:r>
    </w:p>
    <w:p w14:paraId="02E5C3DA"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439733CD" w14:textId="77777777">
      <w:pPr>
        <w:pStyle w:val="882"/>
        <w:pBdr/>
        <w:spacing w:after="0" w:before="0"/>
        <w:ind/>
        <w:rPr>
          <w:sz w:val="20"/>
          <w:szCs w:val="20"/>
          <w:lang w:val="pt-BR"/>
        </w:rPr>
      </w:pPr>
      <w:r/>
      <w:bookmarkStart w:id="10" w:name="_heading=h.pxeyw4erdhfw"/>
      <w:r/>
      <w:bookmarkEnd w:id="10"/>
      <w:r>
        <w:rPr>
          <w:sz w:val="20"/>
          <w:szCs w:val="20"/>
          <w:lang w:val="pt-BR"/>
        </w:rPr>
        <w:t xml:space="preserve">6. DA PARTICIPAÇÃO NA LICITAÇÃO E CADASTRO DA PROPOSTA NO SISTEMA BLL:</w:t>
      </w:r>
      <w:r>
        <w:rPr>
          <w:sz w:val="20"/>
          <w:szCs w:val="20"/>
          <w:lang w:val="pt-BR"/>
        </w:rPr>
      </w:r>
    </w:p>
    <w:p w14:paraId="1AAB0AC4" w14:textId="77777777">
      <w:pPr>
        <w:pBdr/>
        <w:spacing/>
        <w:ind/>
        <w:jc w:val="both"/>
        <w:rPr>
          <w:rFonts w:ascii="Arial" w:hAnsi="Arial" w:eastAsia="Arial" w:cs="Arial"/>
          <w:u w:val="single"/>
        </w:rPr>
      </w:pPr>
      <w:r>
        <w:rPr>
          <w:rFonts w:ascii="Arial" w:hAnsi="Arial" w:eastAsia="Arial" w:cs="Arial"/>
          <w:u w:val="single"/>
        </w:rPr>
      </w:r>
      <w:r>
        <w:rPr>
          <w:rFonts w:ascii="Arial" w:hAnsi="Arial" w:eastAsia="Arial" w:cs="Arial"/>
          <w:u w:val="single"/>
        </w:rPr>
      </w:r>
    </w:p>
    <w:p w14:paraId="2EC8C9CF" w14:textId="77777777">
      <w:pPr>
        <w:pBdr/>
        <w:spacing/>
        <w:ind/>
        <w:jc w:val="both"/>
        <w:rPr>
          <w:rFonts w:ascii="Arial" w:hAnsi="Arial" w:cs="Arial"/>
          <w:u w:val="single"/>
        </w:rPr>
      </w:pPr>
      <w:r>
        <w:rPr>
          <w:rFonts w:ascii="Arial" w:hAnsi="Arial" w:eastAsia="Arial" w:cs="Arial"/>
          <w:b/>
          <w:u w:val="single"/>
        </w:rPr>
        <w:t xml:space="preserve">6.1.</w:t>
      </w:r>
      <w:r>
        <w:rPr>
          <w:rFonts w:ascii="Arial" w:hAnsi="Arial" w:eastAsia="Arial" w:cs="Arial"/>
          <w:u w:val="single"/>
        </w:rPr>
        <w:t xml:space="preserve"> </w:t>
      </w:r>
      <w:r>
        <w:rPr>
          <w:rFonts w:ascii="Arial" w:hAnsi="Arial" w:cs="Arial"/>
          <w:u w:val="single"/>
        </w:rPr>
        <w:t xml:space="preserve">Não haverá possibilidade de ser apresenta</w:t>
      </w:r>
      <w:r>
        <w:rPr>
          <w:rFonts w:ascii="Arial" w:hAnsi="Arial" w:cs="Arial"/>
          <w:u w:val="single"/>
        </w:rPr>
        <w:t xml:space="preserve">do preços diferentes em razão de entregas em locais diferentes, pela forma de acondicionamento até pela natureza do objeto licitado, ou em razão do tamanho do lote (artigo 82, III, da Lei 14.133/2021 e artigo 301, VIII do Decreto Municipal n° 11.685/2023).</w:t>
      </w:r>
      <w:r>
        <w:rPr>
          <w:rFonts w:ascii="Arial" w:hAnsi="Arial" w:cs="Arial"/>
          <w:u w:val="single"/>
        </w:rPr>
      </w:r>
    </w:p>
    <w:p w14:paraId="67F2E469" w14:textId="77777777">
      <w:pPr>
        <w:pBdr/>
        <w:spacing/>
        <w:ind/>
        <w:jc w:val="both"/>
        <w:rPr>
          <w:rFonts w:ascii="Arial" w:hAnsi="Arial" w:eastAsia="Arial" w:cs="Arial"/>
          <w:u w:val="single"/>
        </w:rPr>
      </w:pPr>
      <w:r>
        <w:rPr>
          <w:rFonts w:ascii="Arial" w:hAnsi="Arial" w:eastAsia="Arial" w:cs="Arial"/>
          <w:u w:val="single"/>
        </w:rPr>
      </w:r>
      <w:r>
        <w:rPr>
          <w:rFonts w:ascii="Arial" w:hAnsi="Arial" w:eastAsia="Arial" w:cs="Arial"/>
          <w:u w:val="single"/>
        </w:rPr>
      </w:r>
    </w:p>
    <w:p w14:paraId="6C3184A8" w14:textId="77777777">
      <w:pPr>
        <w:pBdr/>
        <w:spacing/>
        <w:ind/>
        <w:jc w:val="both"/>
        <w:rPr>
          <w:rFonts w:ascii="Arial" w:hAnsi="Arial" w:eastAsia="Arial" w:cs="Arial"/>
          <w:u w:val="single"/>
        </w:rPr>
      </w:pPr>
      <w:r>
        <w:rPr>
          <w:rFonts w:ascii="Arial" w:hAnsi="Arial" w:eastAsia="Arial" w:cs="Arial"/>
          <w:b/>
          <w:u w:val="single"/>
        </w:rPr>
        <w:t xml:space="preserve">6.1.1.</w:t>
      </w:r>
      <w:r>
        <w:rPr>
          <w:rFonts w:ascii="Arial" w:hAnsi="Arial" w:eastAsia="Arial" w:cs="Arial"/>
          <w:u w:val="single"/>
        </w:rPr>
        <w:t xml:space="preserve"> Não haverá a possibilidade de o licitante oferecer proposta em quantitativo inferior ao máximo previsto no edital, obrigando-se nos limites dele (art. 82, IV da Lei 14.133/2021 e art. 301, IX do Decreto 11.685/2023).</w:t>
      </w:r>
      <w:r>
        <w:rPr>
          <w:rFonts w:ascii="Arial" w:hAnsi="Arial" w:eastAsia="Arial" w:cs="Arial"/>
          <w:u w:val="single"/>
        </w:rPr>
      </w:r>
    </w:p>
    <w:p w14:paraId="42BB0C2E"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1CCF10F6" w14:textId="77777777">
      <w:pPr>
        <w:pBdr/>
        <w:spacing/>
        <w:ind/>
        <w:jc w:val="both"/>
        <w:rPr>
          <w:rFonts w:ascii="Arial" w:hAnsi="Arial" w:eastAsia="Arial" w:cs="Arial"/>
        </w:rPr>
      </w:pPr>
      <w:r>
        <w:rPr>
          <w:rFonts w:ascii="Arial" w:hAnsi="Arial" w:eastAsia="Arial" w:cs="Arial"/>
          <w:b/>
          <w:bCs/>
        </w:rPr>
        <w:t xml:space="preserve">6.2</w:t>
      </w:r>
      <w:r>
        <w:rPr>
          <w:rFonts w:ascii="Arial" w:hAnsi="Arial" w:eastAsia="Arial" w:cs="Arial"/>
        </w:rPr>
        <w:t xml:space="preserve">. Os documentos exigidos para habilitação deve</w:t>
      </w:r>
      <w:r>
        <w:rPr>
          <w:rFonts w:ascii="Arial" w:hAnsi="Arial" w:eastAsia="Arial" w:cs="Arial"/>
        </w:rPr>
        <w:t xml:space="preserve">rão ser apresentados via sistema eletrônico antes da abertura da sessão pública. A análise da documentação ocorrerá em momento inicial do certame. Somente os licitantes considerados habilitados terão suas propostas abertas e participarão da fase de lances.</w:t>
      </w:r>
      <w:r>
        <w:rPr>
          <w:rFonts w:ascii="Arial" w:hAnsi="Arial" w:eastAsia="Arial" w:cs="Arial"/>
        </w:rPr>
      </w:r>
    </w:p>
    <w:p w14:paraId="4ECA7573"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48088C93" w14:textId="77777777">
      <w:pPr>
        <w:pBdr/>
        <w:spacing/>
        <w:ind/>
        <w:jc w:val="both"/>
        <w:rPr>
          <w:rFonts w:ascii="Arial" w:hAnsi="Arial" w:eastAsia="Arial" w:cs="Arial"/>
        </w:rPr>
      </w:pPr>
      <w:r>
        <w:rPr>
          <w:rFonts w:ascii="Arial" w:hAnsi="Arial" w:eastAsia="Arial" w:cs="Arial"/>
          <w:b/>
        </w:rPr>
        <w:t xml:space="preserve">6.3</w:t>
      </w:r>
      <w:r>
        <w:rPr>
          <w:rFonts w:ascii="Arial" w:hAnsi="Arial" w:eastAsia="Arial" w:cs="Arial"/>
        </w:rPr>
        <w:t xml:space="preserve">. </w:t>
      </w:r>
      <w:bookmarkStart w:id="11" w:name="_Ref167185536"/>
      <w:r>
        <w:rPr>
          <w:rStyle w:val="996"/>
          <w:rFonts w:ascii="Arial" w:hAnsi="Arial" w:cs="Arial"/>
          <w:b/>
          <w:lang w:val="ar-SA"/>
        </w:rPr>
        <w:t xml:space="preserve">As propostas deverão ser cadastradas no sistema com valor unitário do item/lote</w:t>
      </w:r>
      <w:r>
        <w:rPr>
          <w:rStyle w:val="996"/>
          <w:rFonts w:ascii="Arial" w:hAnsi="Arial" w:cs="Arial"/>
          <w:lang w:val="ar-SA"/>
        </w:rPr>
        <w:t xml:space="preserve">. Ao final o próprio sistema da BLL fará a multiplicação e emitirá os relatórios com o (s) valor (es) total (s) do (s) item (s)/ lotes. Os</w:t>
      </w:r>
      <w:r>
        <w:rPr>
          <w:rStyle w:val="996"/>
          <w:rFonts w:ascii="Arial" w:hAnsi="Arial" w:cs="Arial"/>
          <w:b/>
          <w:lang w:val="ar-SA"/>
        </w:rPr>
        <w:t xml:space="preserve"> lances serão sempre em cima do valor unitário do item ou lote conforme o caso.</w:t>
      </w:r>
      <w:bookmarkEnd w:id="11"/>
      <w:r/>
      <w:r>
        <w:rPr>
          <w:rFonts w:ascii="Arial" w:hAnsi="Arial" w:eastAsia="Arial" w:cs="Arial"/>
        </w:rPr>
      </w:r>
    </w:p>
    <w:p w14:paraId="0B05CE67"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78CC0794" w14:textId="77777777">
      <w:pPr>
        <w:pBdr/>
        <w:spacing/>
        <w:ind/>
        <w:jc w:val="both"/>
        <w:rPr>
          <w:rFonts w:ascii="Arial" w:hAnsi="Arial" w:eastAsia="Arial" w:cs="Arial"/>
        </w:rPr>
      </w:pPr>
      <w:r>
        <w:rPr>
          <w:rFonts w:ascii="Arial" w:hAnsi="Arial" w:eastAsia="Arial" w:cs="Arial"/>
          <w:b/>
        </w:rPr>
        <w:t xml:space="preserve">6.3.1.</w:t>
      </w:r>
      <w:r>
        <w:rPr>
          <w:rFonts w:ascii="Arial" w:hAnsi="Arial" w:eastAsia="Arial" w:cs="Arial"/>
        </w:rPr>
        <w:t xml:space="preserve"> A apresentaç</w:t>
      </w:r>
      <w:r>
        <w:rPr>
          <w:rFonts w:ascii="Arial" w:hAnsi="Arial" w:eastAsia="Arial" w:cs="Arial"/>
        </w:rPr>
        <w:t xml:space="preserve">ão das propostas, bem como, os lances quando for o caso, demonstra que o licitante tem conhecimento do objeto, valor estimado e atendimento às exigências para habilitação, portanto, demostra pleno conhecimento das regras previstas no Edital e seus Anexos. </w:t>
      </w:r>
      <w:r>
        <w:rPr>
          <w:rFonts w:ascii="Arial" w:hAnsi="Arial" w:eastAsia="Arial" w:cs="Arial"/>
        </w:rPr>
      </w:r>
    </w:p>
    <w:p w14:paraId="464BA184"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5E801C65" w14:textId="77777777">
      <w:pPr>
        <w:pBdr/>
        <w:spacing/>
        <w:ind/>
        <w:jc w:val="both"/>
        <w:rPr>
          <w:rFonts w:ascii="Arial" w:hAnsi="Arial" w:eastAsia="Arial" w:cs="Arial"/>
        </w:rPr>
      </w:pPr>
      <w:r>
        <w:rPr>
          <w:rFonts w:ascii="Arial" w:hAnsi="Arial" w:eastAsia="Arial" w:cs="Arial"/>
          <w:b/>
        </w:rPr>
        <w:t xml:space="preserve">6.3.2.</w:t>
      </w:r>
      <w:r>
        <w:rPr>
          <w:rFonts w:ascii="Arial" w:hAnsi="Arial" w:eastAsia="Arial" w:cs="Arial"/>
        </w:rPr>
        <w:t xml:space="preserve"> A empresa/licitante será</w:t>
      </w:r>
      <w:r>
        <w:rPr>
          <w:rFonts w:ascii="Arial" w:hAnsi="Arial" w:eastAsia="Arial" w:cs="Arial"/>
        </w:rPr>
        <w:t xml:space="preserve"> responsável por todas as transações que forem efetuadas em seu nome no sistema BLL, assumindo como firmes e verdadeiras suas propostas iniciais cadastradas, lances, bem como, fica obrigada a cadastrar a recomposição dentro do prazo estabelecido no edital.</w:t>
      </w:r>
      <w:r>
        <w:rPr>
          <w:rFonts w:ascii="Arial" w:hAnsi="Arial" w:eastAsia="Arial" w:cs="Arial"/>
        </w:rPr>
      </w:r>
    </w:p>
    <w:p w14:paraId="73CE278E"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46D05CC2" w14:textId="77777777">
      <w:pPr>
        <w:pBdr/>
        <w:spacing/>
        <w:ind/>
        <w:jc w:val="both"/>
        <w:rPr>
          <w:rFonts w:ascii="Arial" w:hAnsi="Arial" w:eastAsia="Arial" w:cs="Arial"/>
          <w:color w:val="000000"/>
        </w:rPr>
      </w:pPr>
      <w:r>
        <w:rPr>
          <w:rFonts w:ascii="Arial" w:hAnsi="Arial" w:eastAsia="Arial" w:cs="Arial"/>
          <w:b/>
          <w:color w:val="000000"/>
        </w:rPr>
        <w:t xml:space="preserve">6.3.3.</w:t>
      </w:r>
      <w:r>
        <w:rPr>
          <w:rFonts w:ascii="Arial" w:hAnsi="Arial" w:eastAsia="Arial" w:cs="Arial"/>
          <w:color w:val="000000"/>
        </w:rPr>
        <w:t xml:space="preserve"> Portanto, o licitante responsabiliza-se exclusiva e formalmente pelas transações efetuadas em seu nome, assume como firmes e verdadeiras suas propostas e seus lances, inclusiv</w:t>
      </w:r>
      <w:r>
        <w:rPr>
          <w:rFonts w:ascii="Arial" w:hAnsi="Arial" w:eastAsia="Arial" w:cs="Arial"/>
          <w:color w:val="000000"/>
        </w:rPr>
        <w:t xml:space="preserve">e os atos praticados diretamente ou por seu representante, excluída a responsabilidade do provedor do sistema ou do órgão ou entidade promotora da licitação por eventuais danos decorrentes de uso indevido das credenciais de acesso, ainda que por terceiros.</w:t>
      </w:r>
      <w:r>
        <w:rPr>
          <w:rFonts w:ascii="Arial" w:hAnsi="Arial" w:eastAsia="Arial" w:cs="Arial"/>
          <w:color w:val="000000"/>
        </w:rPr>
      </w:r>
    </w:p>
    <w:p w14:paraId="42836727"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4619137E" w14:textId="77777777">
      <w:pPr>
        <w:pBdr/>
        <w:spacing/>
        <w:ind/>
        <w:jc w:val="both"/>
        <w:rPr>
          <w:rFonts w:ascii="Arial" w:hAnsi="Arial" w:eastAsia="Arial" w:cs="Arial"/>
        </w:rPr>
      </w:pPr>
      <w:r>
        <w:rPr>
          <w:rFonts w:ascii="Arial" w:hAnsi="Arial" w:eastAsia="Arial" w:cs="Arial"/>
          <w:b/>
        </w:rPr>
        <w:t xml:space="preserve">6.4.</w:t>
      </w:r>
      <w:r>
        <w:rPr>
          <w:rFonts w:ascii="Arial" w:hAnsi="Arial" w:eastAsia="Arial" w:cs="Arial"/>
        </w:rPr>
        <w:t xml:space="preserve"> Será concedido tratamento favorecido para as microempresas e empresas de pequeno porte, </w:t>
      </w:r>
      <w:r>
        <w:rPr>
          <w:rFonts w:ascii="Arial" w:hAnsi="Arial" w:eastAsia="Arial" w:cs="Arial"/>
          <w:color w:val="000000"/>
        </w:rPr>
        <w:t xml:space="preserve">para as sociedades cooperativas mencionadas no </w:t>
      </w:r>
      <w:hyperlink r:id="rId18" w:tooltip="http://www.planalto.gov.br/ccivil_03/_ato2019-2022/2021/lei/L14133.htm#art16" w:anchor="art16" w:history="1">
        <w:r>
          <w:rPr>
            <w:rFonts w:ascii="Arial" w:hAnsi="Arial" w:eastAsia="Arial" w:cs="Arial"/>
            <w:color w:val="000000"/>
            <w:u w:val="single"/>
          </w:rPr>
          <w:t xml:space="preserve">artigo 16 da Lei nº 14.133, de 2021</w:t>
        </w:r>
      </w:hyperlink>
      <w:r>
        <w:rPr>
          <w:rFonts w:ascii="Arial" w:hAnsi="Arial" w:eastAsia="Arial" w:cs="Arial"/>
        </w:rPr>
        <w:t xml:space="preserve">, para o agricultor familiar, o produtor rural pessoa física e para o microempreendedor individual - MEI, nos limites previstos da </w:t>
      </w:r>
      <w:hyperlink r:id="rId19" w:tooltip="https://www.planalto.gov.br/ccivil_03/leis/lcp/lcp123.htm" w:history="1">
        <w:r>
          <w:rPr>
            <w:rFonts w:ascii="Arial" w:hAnsi="Arial" w:eastAsia="Arial" w:cs="Arial"/>
            <w:color w:val="0000ff"/>
            <w:u w:val="single"/>
          </w:rPr>
          <w:t xml:space="preserve">Lei Complementar nº 123, de 2006</w:t>
        </w:r>
      </w:hyperlink>
      <w:r>
        <w:rPr>
          <w:rFonts w:ascii="Arial" w:hAnsi="Arial" w:eastAsia="Arial" w:cs="Arial"/>
        </w:rPr>
        <w:t xml:space="preserve"> e do Decreto n.º 8.538, de 2015.</w:t>
      </w:r>
      <w:r>
        <w:rPr>
          <w:rFonts w:ascii="Arial" w:hAnsi="Arial" w:eastAsia="Arial" w:cs="Arial"/>
        </w:rPr>
      </w:r>
    </w:p>
    <w:p w14:paraId="4B0D97D3" w14:textId="77777777">
      <w:pPr>
        <w:pBdr/>
        <w:spacing/>
        <w:ind/>
        <w:jc w:val="both"/>
        <w:rPr>
          <w:rFonts w:ascii="Arial" w:hAnsi="Arial" w:eastAsia="Arial" w:cs="Arial"/>
          <w:b/>
          <w:color w:val="000000"/>
        </w:rPr>
      </w:pPr>
      <w:r>
        <w:rPr>
          <w:rFonts w:ascii="Arial" w:hAnsi="Arial" w:eastAsia="Arial" w:cs="Arial"/>
          <w:b/>
          <w:color w:val="000000"/>
        </w:rPr>
        <w:t xml:space="preserve">6.5. NA PROPOSTA DE PREÇOS DEVERÁ CONTER: </w:t>
      </w:r>
      <w:r>
        <w:rPr>
          <w:rFonts w:ascii="Arial" w:hAnsi="Arial" w:eastAsia="Arial" w:cs="Arial"/>
          <w:b/>
          <w:color w:val="000000"/>
        </w:rPr>
      </w:r>
    </w:p>
    <w:p w14:paraId="63864554" w14:textId="77777777">
      <w:pPr>
        <w:pBdr/>
        <w:spacing/>
        <w:ind/>
        <w:jc w:val="both"/>
        <w:rPr>
          <w:rFonts w:ascii="Arial" w:hAnsi="Arial" w:eastAsia="Arial" w:cs="Arial"/>
          <w:b/>
          <w:color w:val="000000"/>
        </w:rPr>
      </w:pPr>
      <w:r>
        <w:rPr>
          <w:rFonts w:ascii="Arial" w:hAnsi="Arial" w:eastAsia="Arial" w:cs="Arial"/>
          <w:b/>
          <w:color w:val="000000"/>
        </w:rPr>
      </w:r>
      <w:r>
        <w:rPr>
          <w:rFonts w:ascii="Arial" w:hAnsi="Arial" w:eastAsia="Arial" w:cs="Arial"/>
          <w:b/>
          <w:color w:val="000000"/>
        </w:rPr>
      </w:r>
    </w:p>
    <w:p w14:paraId="311E92E4" w14:textId="77777777">
      <w:pPr>
        <w:pBdr/>
        <w:spacing/>
        <w:ind/>
        <w:jc w:val="both"/>
        <w:rPr>
          <w:rFonts w:ascii="Arial" w:hAnsi="Arial" w:eastAsia="Arial" w:cs="Arial"/>
          <w:color w:val="000000"/>
        </w:rPr>
      </w:pPr>
      <w:r>
        <w:rPr>
          <w:rFonts w:ascii="Arial" w:hAnsi="Arial" w:eastAsia="Arial" w:cs="Arial"/>
          <w:b/>
          <w:color w:val="000000"/>
        </w:rPr>
        <w:t xml:space="preserve">6.5.1.</w:t>
      </w:r>
      <w:r>
        <w:rPr>
          <w:rFonts w:ascii="Arial" w:hAnsi="Arial" w:eastAsia="Arial" w:cs="Arial"/>
          <w:color w:val="000000"/>
        </w:rPr>
        <w:t xml:space="preserve"> O prazo de eficácia da proposta, o qual não poderá ser inferior a 120 (cento e vinte) dias corridos, a contar da data da realização da sessão pública da licitação em epígrafe; </w:t>
      </w:r>
      <w:r>
        <w:rPr>
          <w:rFonts w:ascii="Arial" w:hAnsi="Arial" w:eastAsia="Arial" w:cs="Arial"/>
          <w:color w:val="000000"/>
        </w:rPr>
      </w:r>
    </w:p>
    <w:p w14:paraId="7CF5F377"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028A16BE" w14:textId="77777777">
      <w:pPr>
        <w:pBdr/>
        <w:spacing/>
        <w:ind/>
        <w:jc w:val="both"/>
        <w:rPr>
          <w:rFonts w:ascii="Arial" w:hAnsi="Arial" w:eastAsia="Arial" w:cs="Arial"/>
        </w:rPr>
      </w:pPr>
      <w:r>
        <w:rPr>
          <w:rFonts w:ascii="Arial" w:hAnsi="Arial" w:eastAsia="Arial" w:cs="Arial"/>
          <w:b/>
        </w:rPr>
        <w:t xml:space="preserve">6.5.2.</w:t>
      </w:r>
      <w:r>
        <w:rPr>
          <w:rFonts w:ascii="Arial" w:hAnsi="Arial" w:eastAsia="Arial" w:cs="Arial"/>
        </w:rPr>
        <w:t xml:space="preserve"> Os preços deverão ser cotados em moeda corrente nacional, expressos em algarismos e por extenso, sem previsão inflacionária. Em caso de divergência entre os valores unitários e totais, serão considerados os primeiros, e entr</w:t>
      </w:r>
      <w:r>
        <w:rPr>
          <w:rFonts w:ascii="Arial" w:hAnsi="Arial" w:eastAsia="Arial" w:cs="Arial"/>
        </w:rPr>
        <w:t xml:space="preserve">e os valores expressos em algarismo e por extenso, será considerado este último, e estar inclusa, toda e qualquer despesas, tais como: fretes, encargos sociais e trabalhistas, seguros, tributos diretos e indiretos incidentes sobre o fornecimento do objeto;</w:t>
      </w:r>
      <w:r>
        <w:rPr>
          <w:rFonts w:ascii="Arial" w:hAnsi="Arial" w:eastAsia="Arial" w:cs="Arial"/>
        </w:rPr>
      </w:r>
    </w:p>
    <w:p w14:paraId="069729E7"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702F4335" w14:textId="77777777">
      <w:pPr>
        <w:pBdr/>
        <w:spacing/>
        <w:ind/>
        <w:jc w:val="both"/>
        <w:rPr>
          <w:rFonts w:ascii="Arial" w:hAnsi="Arial" w:eastAsia="Arial" w:cs="Arial"/>
        </w:rPr>
      </w:pPr>
      <w:r>
        <w:rPr>
          <w:rFonts w:ascii="Arial" w:hAnsi="Arial" w:eastAsia="Arial" w:cs="Arial"/>
          <w:b/>
        </w:rPr>
        <w:t xml:space="preserve">6.5.3.</w:t>
      </w:r>
      <w:r>
        <w:rPr>
          <w:rFonts w:ascii="Arial" w:hAnsi="Arial" w:eastAsia="Arial" w:cs="Arial"/>
        </w:rPr>
        <w:t xml:space="preserve"> O Pregoeiro considerará erros de somatórios e outros aspectos que beneficiem a Administração Pública e não impliquem nulidade do procedimento, como sendo exigências formais e consequentemente classificará a empresa;</w:t>
      </w:r>
      <w:r>
        <w:rPr>
          <w:rFonts w:ascii="Arial" w:hAnsi="Arial" w:eastAsia="Arial" w:cs="Arial"/>
        </w:rPr>
      </w:r>
    </w:p>
    <w:p w14:paraId="6032333E"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00E4AAEB" w14:textId="77777777">
      <w:pPr>
        <w:pBdr/>
        <w:spacing/>
        <w:ind/>
        <w:jc w:val="both"/>
        <w:rPr>
          <w:rFonts w:ascii="Arial" w:hAnsi="Arial" w:eastAsia="Arial" w:cs="Arial"/>
        </w:rPr>
      </w:pPr>
      <w:r>
        <w:rPr>
          <w:rFonts w:ascii="Arial" w:hAnsi="Arial" w:eastAsia="Arial" w:cs="Arial"/>
          <w:b/>
        </w:rPr>
        <w:t xml:space="preserve">6.5.4. </w:t>
      </w:r>
      <w:r>
        <w:rPr>
          <w:rFonts w:ascii="Arial" w:hAnsi="Arial" w:eastAsia="Arial" w:cs="Arial"/>
        </w:rPr>
        <w:t xml:space="preserve">Deverá ser apresentada proposta que atenda todas as especificações do objeto solicitado, não poderão ser alteradas, sob pena de desclassificação; </w:t>
      </w:r>
      <w:r>
        <w:rPr>
          <w:rFonts w:ascii="Arial" w:hAnsi="Arial" w:eastAsia="Arial" w:cs="Arial"/>
        </w:rPr>
      </w:r>
    </w:p>
    <w:p w14:paraId="5F7DA13B"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719F468C" w14:textId="77777777">
      <w:pPr>
        <w:pBdr/>
        <w:spacing/>
        <w:ind/>
        <w:jc w:val="both"/>
        <w:rPr>
          <w:rFonts w:ascii="Arial" w:hAnsi="Arial" w:eastAsia="Arial" w:cs="Arial"/>
        </w:rPr>
      </w:pPr>
      <w:r>
        <w:rPr>
          <w:rFonts w:ascii="Arial" w:hAnsi="Arial" w:eastAsia="Arial" w:cs="Arial"/>
          <w:b/>
        </w:rPr>
        <w:t xml:space="preserve">6.5.5.</w:t>
      </w:r>
      <w:r>
        <w:rPr>
          <w:rFonts w:ascii="Arial" w:hAnsi="Arial" w:eastAsia="Arial" w:cs="Arial"/>
        </w:rPr>
        <w:t xml:space="preserve"> Tendo em vista a natureza do objeto, e considerando que todas as empresas do ramo no mercado são capazes de r</w:t>
      </w:r>
      <w:r>
        <w:rPr>
          <w:rFonts w:ascii="Arial" w:hAnsi="Arial" w:eastAsia="Arial" w:cs="Arial"/>
        </w:rPr>
        <w:t xml:space="preserve">ealizar o fornecimento dos itens nas quantidades solicitadas, não será prevista a possibilidade de o licitante oferecer proposta em quantitativo inferior ao máximo previsto no edital, obrigando-se nos limites dela. (Art. 82, Inciso IV, da Lei 14.133/2021).</w:t>
      </w:r>
      <w:r>
        <w:rPr>
          <w:rFonts w:ascii="Arial" w:hAnsi="Arial" w:eastAsia="Arial" w:cs="Arial"/>
        </w:rPr>
      </w:r>
    </w:p>
    <w:p w14:paraId="066266AB"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080960B4" w14:textId="53EABDE8">
      <w:pPr>
        <w:pBdr/>
        <w:spacing/>
        <w:ind/>
        <w:jc w:val="both"/>
        <w:rPr>
          <w:rFonts w:ascii="Arial" w:hAnsi="Arial" w:eastAsia="Arial" w:cs="Arial"/>
          <w:b/>
          <w:bCs/>
        </w:rPr>
      </w:pPr>
      <w:r>
        <w:rPr>
          <w:rFonts w:ascii="Arial" w:hAnsi="Arial" w:eastAsia="Arial" w:cs="Arial"/>
          <w:b/>
          <w:bCs/>
        </w:rPr>
        <w:t xml:space="preserve">6.5.5.1. </w:t>
      </w:r>
      <w:r>
        <w:rPr>
          <w:rFonts w:ascii="Arial" w:hAnsi="Arial" w:cs="Arial"/>
          <w:b/>
          <w:u w:val="single"/>
        </w:rPr>
        <w:t xml:space="preserve">A quantidade máxima estimada dos itens que compõem o lote único que poderão ser adquiridos pelo município, aqui denominado órgão gerenciador, é a </w:t>
      </w:r>
      <w:r>
        <w:rPr>
          <w:rFonts w:ascii="Arial" w:hAnsi="Arial" w:cs="Arial"/>
          <w:b/>
          <w:color w:val="000000"/>
          <w:u w:val="single"/>
        </w:rPr>
        <w:t xml:space="preserve">constante no Anexo Formação de Preços</w:t>
      </w:r>
      <w:r>
        <w:rPr>
          <w:rFonts w:ascii="Arial" w:hAnsi="Arial" w:cs="Arial"/>
          <w:color w:val="000000"/>
        </w:rPr>
        <w:t xml:space="preserve">,</w:t>
      </w:r>
      <w:r>
        <w:rPr>
          <w:rFonts w:ascii="Arial" w:hAnsi="Arial" w:cs="Arial"/>
        </w:rPr>
        <w:t xml:space="preserve"> tendo em vista que para este certame não haverá a possibilidade de contemplação para órgão não participante. </w:t>
      </w:r>
      <w:r>
        <w:rPr>
          <w:rFonts w:ascii="Arial" w:hAnsi="Arial"/>
          <w:color w:val="000000"/>
        </w:rPr>
        <w:t xml:space="preserve">A quantidade mínima dependerá da demanda futura e, portanto, não é possível quantificá-la neste momento</w:t>
      </w:r>
      <w:r>
        <w:rPr>
          <w:rFonts w:ascii="Arial" w:hAnsi="Arial" w:cs="Arial"/>
        </w:rPr>
        <w:t xml:space="preserve"> </w:t>
      </w:r>
      <w:r>
        <w:rPr>
          <w:rFonts w:ascii="Arial" w:hAnsi="Arial" w:cs="Arial"/>
        </w:rPr>
        <w:t xml:space="preserve">(Art. 82, Inciso I</w:t>
      </w:r>
      <w:r>
        <w:rPr>
          <w:rFonts w:ascii="Arial" w:hAnsi="Arial" w:cs="Arial"/>
        </w:rPr>
        <w:t xml:space="preserve"> e II</w:t>
      </w:r>
      <w:r>
        <w:rPr>
          <w:rFonts w:ascii="Arial" w:hAnsi="Arial" w:cs="Arial"/>
        </w:rPr>
        <w:t xml:space="preserve"> da Lei 14.133/2021).</w:t>
      </w:r>
      <w:r>
        <w:rPr>
          <w:rFonts w:ascii="Arial" w:hAnsi="Arial" w:eastAsia="Arial" w:cs="Arial"/>
          <w:b/>
          <w:bCs/>
        </w:rPr>
      </w:r>
    </w:p>
    <w:p w14:paraId="6ACF7DCE"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65E3B260" w14:textId="4441E217">
      <w:pPr>
        <w:pBdr/>
        <w:spacing/>
        <w:ind/>
        <w:jc w:val="both"/>
        <w:rPr>
          <w:rFonts w:ascii="Arial" w:hAnsi="Arial"/>
        </w:rPr>
      </w:pPr>
      <w:r>
        <w:rPr>
          <w:rFonts w:ascii="Arial" w:hAnsi="Arial" w:eastAsia="Arial"/>
          <w:b/>
          <w:bCs/>
        </w:rPr>
        <w:t xml:space="preserve">6.</w:t>
      </w:r>
      <w:r>
        <w:rPr>
          <w:rFonts w:ascii="Arial" w:hAnsi="Arial" w:eastAsia="Arial"/>
          <w:b/>
          <w:bCs/>
        </w:rPr>
        <w:t xml:space="preserve">6</w:t>
      </w:r>
      <w:r>
        <w:rPr>
          <w:rFonts w:ascii="Arial" w:hAnsi="Arial" w:eastAsia="Arial"/>
          <w:b/>
          <w:bCs/>
        </w:rPr>
        <w:t xml:space="preserve">.</w:t>
      </w:r>
      <w:r>
        <w:rPr>
          <w:rFonts w:ascii="Arial" w:hAnsi="Arial" w:eastAsia="Arial"/>
          <w:b/>
          <w:bCs/>
        </w:rPr>
        <w:t xml:space="preserve">6</w:t>
      </w:r>
      <w:r>
        <w:rPr>
          <w:rFonts w:ascii="Arial" w:hAnsi="Arial" w:eastAsia="Arial"/>
          <w:b/>
          <w:bCs/>
        </w:rPr>
        <w:t xml:space="preserve">.</w:t>
      </w:r>
      <w:r>
        <w:rPr>
          <w:rFonts w:ascii="Arial" w:hAnsi="Arial" w:eastAsia="Arial"/>
        </w:rPr>
        <w:t xml:space="preserve"> A quantidade </w:t>
      </w:r>
      <w:r>
        <w:rPr>
          <w:rFonts w:ascii="Arial" w:hAnsi="Arial" w:eastAsia="Arial"/>
          <w:b/>
          <w:bCs/>
        </w:rPr>
        <w:t xml:space="preserve">MÁXIMA</w:t>
      </w:r>
      <w:r>
        <w:rPr>
          <w:rFonts w:ascii="Arial" w:hAnsi="Arial" w:eastAsia="Arial"/>
        </w:rPr>
        <w:t xml:space="preserve"> estimada de cada item que poderá ser adquirida pelo município aqui denominado órgão gerenciador é a constante no </w:t>
      </w:r>
      <w:r>
        <w:rPr>
          <w:rFonts w:ascii="Arial" w:hAnsi="Arial" w:eastAsia="Arial"/>
          <w:b/>
          <w:bCs/>
        </w:rPr>
        <w:t xml:space="preserve">Anexo Itens do Pregão</w:t>
      </w:r>
      <w:r>
        <w:rPr>
          <w:rFonts w:ascii="Arial" w:hAnsi="Arial" w:eastAsia="Arial"/>
        </w:rPr>
        <w:t xml:space="preserve">, tendo em vista que para este certame não haverá a possibilidade de contemplação para órgão não participante. (Art. 82, Inciso I, da Lei 14.133/2021).</w:t>
      </w:r>
      <w:r>
        <w:rPr>
          <w:rFonts w:ascii="Arial" w:hAnsi="Arial"/>
        </w:rPr>
      </w:r>
    </w:p>
    <w:p w14:paraId="6B3EFC24" w14:textId="77777777">
      <w:pPr>
        <w:pBdr/>
        <w:spacing/>
        <w:ind/>
        <w:jc w:val="both"/>
        <w:rPr>
          <w:rFonts w:ascii="Arial" w:hAnsi="Arial"/>
        </w:rPr>
      </w:pPr>
      <w:r>
        <w:rPr>
          <w:rFonts w:ascii="Arial" w:hAnsi="Arial"/>
        </w:rPr>
      </w:r>
      <w:r>
        <w:rPr>
          <w:rFonts w:ascii="Arial" w:hAnsi="Arial"/>
        </w:rPr>
      </w:r>
    </w:p>
    <w:p w14:paraId="6A5BE72A" w14:textId="72B851EA">
      <w:pPr>
        <w:pBdr/>
        <w:spacing/>
        <w:ind/>
        <w:jc w:val="both"/>
        <w:rPr>
          <w:rFonts w:ascii="Arial" w:hAnsi="Arial" w:eastAsia="Arial"/>
        </w:rPr>
      </w:pPr>
      <w:r>
        <w:rPr>
          <w:rFonts w:ascii="Arial" w:hAnsi="Arial" w:eastAsia="Arial"/>
          <w:b/>
          <w:bCs/>
        </w:rPr>
        <w:t xml:space="preserve">6.</w:t>
      </w:r>
      <w:r>
        <w:rPr>
          <w:rFonts w:ascii="Arial" w:hAnsi="Arial" w:eastAsia="Arial"/>
          <w:b/>
          <w:bCs/>
        </w:rPr>
        <w:t xml:space="preserve">6.</w:t>
      </w:r>
      <w:r>
        <w:rPr>
          <w:rFonts w:ascii="Arial" w:hAnsi="Arial" w:eastAsia="Arial"/>
          <w:b/>
          <w:bCs/>
        </w:rPr>
        <w:t xml:space="preserve">7.</w:t>
      </w:r>
      <w:r>
        <w:rPr>
          <w:rFonts w:ascii="Arial" w:hAnsi="Arial"/>
        </w:rPr>
        <w:t xml:space="preserve"> Nos processos</w:t>
      </w:r>
      <w:r>
        <w:rPr>
          <w:rFonts w:ascii="Arial" w:hAnsi="Arial" w:eastAsia="Arial"/>
        </w:rPr>
        <w:t xml:space="preserve"> de Registro de Preços, a definição de uma quantidade </w:t>
      </w:r>
      <w:r>
        <w:rPr>
          <w:rFonts w:ascii="Arial" w:hAnsi="Arial" w:eastAsia="Arial"/>
          <w:b/>
          <w:bCs/>
        </w:rPr>
        <w:t xml:space="preserve">MÍNIMA</w:t>
      </w:r>
      <w:r>
        <w:rPr>
          <w:rFonts w:ascii="Arial" w:hAnsi="Arial" w:eastAsia="Arial"/>
        </w:rPr>
        <w:t xml:space="preserve"> é opcional , conform</w:t>
      </w:r>
      <w:r>
        <w:rPr>
          <w:rFonts w:ascii="Arial" w:hAnsi="Arial" w:eastAsia="Arial"/>
        </w:rPr>
        <w:t xml:space="preserve">e a Lei nº 14.133/2021. Essa definição seria justificável para estimular a competitividade, garantir a economia de escala ou adequar a logística do fornecimento, sendo que a ausência dessa previsão não obriga a Administração a comprar nenhum quantitativo. </w:t>
      </w:r>
      <w:r>
        <w:rPr>
          <w:rFonts w:ascii="Arial" w:hAnsi="Arial" w:eastAsia="Arial"/>
        </w:rPr>
      </w:r>
    </w:p>
    <w:p w14:paraId="454D76DD"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72814FEA"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351A2C51" w14:textId="77777777">
      <w:pPr>
        <w:pBdr/>
        <w:spacing/>
        <w:ind/>
        <w:jc w:val="both"/>
        <w:rPr>
          <w:rFonts w:ascii="Arial" w:hAnsi="Arial" w:eastAsia="Arial" w:cs="Arial"/>
          <w:b/>
          <w:color w:val="000000"/>
        </w:rPr>
      </w:pPr>
      <w:r>
        <w:rPr>
          <w:rFonts w:ascii="Arial" w:hAnsi="Arial" w:eastAsia="Arial" w:cs="Arial"/>
          <w:b/>
          <w:color w:val="000000"/>
        </w:rPr>
        <w:t xml:space="preserve">6.6. DA POSSIBILIDADE DE PREVER PREÇOS DIFERENTES:</w:t>
      </w:r>
      <w:r>
        <w:rPr>
          <w:rFonts w:ascii="Arial" w:hAnsi="Arial" w:eastAsia="Arial" w:cs="Arial"/>
          <w:b/>
          <w:color w:val="000000"/>
        </w:rPr>
      </w:r>
    </w:p>
    <w:p w14:paraId="4822E93B" w14:textId="77777777">
      <w:pPr>
        <w:pBdr/>
        <w:spacing/>
        <w:ind/>
        <w:jc w:val="both"/>
        <w:rPr>
          <w:rFonts w:ascii="Arial" w:hAnsi="Arial" w:eastAsia="Arial" w:cs="Arial"/>
          <w:b/>
          <w:color w:val="000000"/>
        </w:rPr>
      </w:pPr>
      <w:r>
        <w:rPr>
          <w:rFonts w:ascii="Arial" w:hAnsi="Arial" w:eastAsia="Arial" w:cs="Arial"/>
          <w:b/>
          <w:color w:val="000000"/>
        </w:rPr>
      </w:r>
      <w:r>
        <w:rPr>
          <w:rFonts w:ascii="Arial" w:hAnsi="Arial" w:eastAsia="Arial" w:cs="Arial"/>
          <w:b/>
          <w:color w:val="000000"/>
        </w:rPr>
      </w:r>
    </w:p>
    <w:p w14:paraId="7E5A530C" w14:textId="77777777">
      <w:pPr>
        <w:pBdr/>
        <w:spacing/>
        <w:ind/>
        <w:jc w:val="both"/>
        <w:rPr>
          <w:rFonts w:ascii="Arial" w:hAnsi="Arial" w:eastAsia="Arial" w:cs="Arial"/>
          <w:color w:val="000000"/>
        </w:rPr>
      </w:pPr>
      <w:r>
        <w:rPr>
          <w:rFonts w:ascii="Arial" w:hAnsi="Arial" w:eastAsia="Arial" w:cs="Arial"/>
          <w:b/>
          <w:color w:val="000000"/>
        </w:rPr>
        <w:t xml:space="preserve">6.6.1.</w:t>
      </w:r>
      <w:r>
        <w:rPr>
          <w:rFonts w:ascii="Arial" w:hAnsi="Arial" w:eastAsia="Arial" w:cs="Arial"/>
          <w:color w:val="000000"/>
        </w:rPr>
        <w:t xml:space="preserve"> Não se aplica a previsão de preços diferenciados para um mesmo item no presente processo, tendo em vista as especificações do objeto.</w:t>
      </w:r>
      <w:r>
        <w:rPr>
          <w:rFonts w:ascii="Arial" w:hAnsi="Arial" w:eastAsia="Arial" w:cs="Arial"/>
          <w:color w:val="000000"/>
        </w:rPr>
      </w:r>
    </w:p>
    <w:p w14:paraId="6A30F2A9" w14:textId="77777777">
      <w:pPr>
        <w:pBdr/>
        <w:spacing/>
        <w:ind/>
        <w:jc w:val="both"/>
        <w:rPr>
          <w:rFonts w:ascii="Arial" w:hAnsi="Arial" w:eastAsia="Arial" w:cs="Arial"/>
          <w:b/>
          <w:color w:val="000000"/>
        </w:rPr>
      </w:pPr>
      <w:r>
        <w:rPr>
          <w:rFonts w:ascii="Arial" w:hAnsi="Arial" w:eastAsia="Arial" w:cs="Arial"/>
          <w:b/>
          <w:color w:val="000000"/>
        </w:rPr>
      </w:r>
      <w:r>
        <w:rPr>
          <w:rFonts w:ascii="Arial" w:hAnsi="Arial" w:eastAsia="Arial" w:cs="Arial"/>
          <w:b/>
          <w:color w:val="000000"/>
        </w:rPr>
      </w:r>
    </w:p>
    <w:p w14:paraId="72DA2E9C" w14:textId="77777777">
      <w:pPr>
        <w:pBdr/>
        <w:spacing/>
        <w:ind/>
        <w:jc w:val="both"/>
        <w:rPr>
          <w:rFonts w:ascii="Arial" w:hAnsi="Arial" w:eastAsia="Arial" w:cs="Arial"/>
          <w:b/>
          <w:color w:val="000000"/>
        </w:rPr>
      </w:pPr>
      <w:r>
        <w:rPr>
          <w:rFonts w:ascii="Arial" w:hAnsi="Arial" w:eastAsia="Arial" w:cs="Arial"/>
          <w:b/>
          <w:color w:val="000000"/>
        </w:rPr>
        <w:t xml:space="preserve">6.7. DA INDICAÇÃO DE MARCA PARADIGMA: </w:t>
      </w:r>
      <w:r>
        <w:rPr>
          <w:rFonts w:ascii="Arial" w:hAnsi="Arial" w:eastAsia="Arial" w:cs="Arial"/>
          <w:b/>
          <w:color w:val="000000"/>
        </w:rPr>
      </w:r>
    </w:p>
    <w:p w14:paraId="373B021F" w14:textId="77777777">
      <w:pPr>
        <w:pBdr/>
        <w:spacing/>
        <w:ind/>
        <w:jc w:val="both"/>
        <w:rPr>
          <w:rFonts w:ascii="Arial" w:hAnsi="Arial" w:eastAsia="Arial" w:cs="Arial"/>
          <w:b/>
          <w:color w:val="000000"/>
        </w:rPr>
      </w:pPr>
      <w:r>
        <w:rPr>
          <w:rFonts w:ascii="Arial" w:hAnsi="Arial" w:eastAsia="Arial" w:cs="Arial"/>
          <w:b/>
          <w:color w:val="000000"/>
        </w:rPr>
      </w:r>
      <w:r>
        <w:rPr>
          <w:rFonts w:ascii="Arial" w:hAnsi="Arial" w:eastAsia="Arial" w:cs="Arial"/>
          <w:b/>
          <w:color w:val="000000"/>
        </w:rPr>
      </w:r>
    </w:p>
    <w:p w14:paraId="6DCD2504" w14:textId="77777777">
      <w:pPr>
        <w:pBdr/>
        <w:spacing/>
        <w:ind/>
        <w:jc w:val="both"/>
        <w:rPr>
          <w:rFonts w:ascii="Arial" w:hAnsi="Arial" w:eastAsia="Arial" w:cs="Arial"/>
          <w:color w:val="000000"/>
        </w:rPr>
      </w:pPr>
      <w:r>
        <w:rPr>
          <w:rFonts w:ascii="Arial" w:hAnsi="Arial" w:eastAsia="Arial" w:cs="Arial"/>
          <w:b/>
          <w:color w:val="000000"/>
        </w:rPr>
        <w:t xml:space="preserve">6.7.1.</w:t>
      </w:r>
      <w:r>
        <w:rPr>
          <w:rFonts w:ascii="Arial" w:hAnsi="Arial" w:eastAsia="Arial" w:cs="Arial"/>
          <w:color w:val="000000"/>
        </w:rPr>
        <w:t xml:space="preserve"> Não se aplica a indicação de marca paradigma tendo em vista as especificações do objeto.</w:t>
      </w:r>
      <w:r>
        <w:rPr>
          <w:rFonts w:ascii="Arial" w:hAnsi="Arial" w:eastAsia="Arial" w:cs="Arial"/>
          <w:color w:val="000000"/>
        </w:rPr>
      </w:r>
    </w:p>
    <w:p w14:paraId="72120EC6" w14:textId="77777777">
      <w:pPr>
        <w:pBdr/>
        <w:spacing/>
        <w:ind/>
        <w:jc w:val="both"/>
        <w:rPr>
          <w:rFonts w:ascii="Arial" w:hAnsi="Arial" w:eastAsia="Arial" w:cs="Arial"/>
          <w:color w:val="000000"/>
        </w:rPr>
      </w:pPr>
      <w:r>
        <w:rPr>
          <w:rFonts w:ascii="Arial" w:hAnsi="Arial" w:eastAsia="Arial" w:cs="Arial"/>
          <w:color w:val="000000"/>
        </w:rPr>
      </w:r>
      <w:r>
        <w:rPr>
          <w:rFonts w:ascii="Arial" w:hAnsi="Arial" w:eastAsia="Arial" w:cs="Arial"/>
          <w:color w:val="000000"/>
        </w:rPr>
      </w:r>
    </w:p>
    <w:p w14:paraId="39CDB9BE" w14:textId="77777777">
      <w:pPr>
        <w:pStyle w:val="882"/>
        <w:pBdr/>
        <w:spacing w:after="0" w:before="0"/>
        <w:ind/>
        <w:rPr>
          <w:sz w:val="20"/>
          <w:szCs w:val="20"/>
          <w:lang w:val="pt-BR"/>
        </w:rPr>
      </w:pPr>
      <w:r/>
      <w:bookmarkStart w:id="12" w:name="_heading=h.dmj8zxngohkv"/>
      <w:r/>
      <w:bookmarkEnd w:id="12"/>
      <w:r>
        <w:rPr>
          <w:sz w:val="20"/>
          <w:szCs w:val="20"/>
          <w:lang w:val="pt-BR"/>
        </w:rPr>
        <w:t xml:space="preserve">7. DA ANÁLISE INICIAL NA PROPOSTA DE PREÇOS NO MOMENTO DA SESSÃO: </w:t>
      </w:r>
      <w:r>
        <w:rPr>
          <w:sz w:val="20"/>
          <w:szCs w:val="20"/>
          <w:lang w:val="pt-BR"/>
        </w:rPr>
      </w:r>
    </w:p>
    <w:p w14:paraId="245B7296" w14:textId="77777777">
      <w:pPr>
        <w:pBdr/>
        <w:spacing/>
        <w:ind/>
        <w:jc w:val="both"/>
        <w:rPr>
          <w:rFonts w:ascii="Arial" w:hAnsi="Arial" w:eastAsia="SimSun" w:cs="Arial"/>
          <w:b/>
        </w:rPr>
      </w:pPr>
      <w:r>
        <w:rPr>
          <w:rFonts w:ascii="Arial" w:hAnsi="Arial" w:eastAsia="SimSun" w:cs="Arial"/>
          <w:b/>
        </w:rPr>
      </w:r>
      <w:r>
        <w:rPr>
          <w:rFonts w:ascii="Arial" w:hAnsi="Arial" w:eastAsia="SimSun" w:cs="Arial"/>
          <w:b/>
        </w:rPr>
      </w:r>
    </w:p>
    <w:p w14:paraId="63479FAF" w14:textId="77777777">
      <w:pPr>
        <w:pBdr/>
        <w:spacing/>
        <w:ind/>
        <w:jc w:val="both"/>
        <w:rPr>
          <w:rFonts w:ascii="Arial" w:hAnsi="Arial" w:cs="Arial"/>
        </w:rPr>
      </w:pPr>
      <w:r>
        <w:rPr>
          <w:rFonts w:ascii="Arial" w:hAnsi="Arial" w:cs="Arial"/>
          <w:b/>
        </w:rPr>
        <w:t xml:space="preserve">7.1.</w:t>
      </w:r>
      <w:r>
        <w:rPr>
          <w:rFonts w:ascii="Arial" w:hAnsi="Arial" w:cs="Arial"/>
        </w:rPr>
        <w:t xml:space="preserve"> Na data e horário previsto no ato c</w:t>
      </w:r>
      <w:r>
        <w:rPr>
          <w:rFonts w:ascii="Arial" w:hAnsi="Arial" w:cs="Arial"/>
        </w:rPr>
        <w:t xml:space="preserve">onvocatório terá início à sessão pública, nesse momento o sistema não identifica as empresas participantes as propostas aparecem em forma de número (participante 1, 2, e assim sucessivamente, no lote seguinte o sistema alterna o número dos participantes). </w:t>
      </w:r>
      <w:r>
        <w:rPr>
          <w:rFonts w:ascii="Arial" w:hAnsi="Arial" w:cs="Arial"/>
        </w:rPr>
      </w:r>
    </w:p>
    <w:p w14:paraId="4DC5E972" w14:textId="77777777">
      <w:pPr>
        <w:pBdr/>
        <w:spacing/>
        <w:ind/>
        <w:jc w:val="both"/>
        <w:rPr>
          <w:rFonts w:ascii="Arial" w:hAnsi="Arial" w:cs="Arial"/>
        </w:rPr>
      </w:pPr>
      <w:r>
        <w:rPr>
          <w:rFonts w:ascii="Arial" w:hAnsi="Arial" w:cs="Arial"/>
        </w:rPr>
      </w:r>
      <w:r>
        <w:rPr>
          <w:rFonts w:ascii="Arial" w:hAnsi="Arial" w:cs="Arial"/>
        </w:rPr>
      </w:r>
    </w:p>
    <w:p w14:paraId="3C999155" w14:textId="77777777">
      <w:pPr>
        <w:pBdr/>
        <w:spacing/>
        <w:ind/>
        <w:jc w:val="both"/>
        <w:rPr>
          <w:rFonts w:ascii="Arial" w:hAnsi="Arial" w:cs="Arial"/>
        </w:rPr>
      </w:pPr>
      <w:r>
        <w:rPr>
          <w:rFonts w:ascii="Arial" w:hAnsi="Arial" w:cs="Arial"/>
          <w:b/>
        </w:rPr>
        <w:t xml:space="preserve">7.2.</w:t>
      </w:r>
      <w:r>
        <w:rPr>
          <w:rFonts w:ascii="Arial" w:hAnsi="Arial" w:cs="Arial"/>
        </w:rPr>
        <w:t xml:space="preserve"> O Pregoeiro após análise das propostas de preços apresentadas de forma eletrônica, </w:t>
      </w:r>
      <w:r>
        <w:rPr>
          <w:rFonts w:ascii="Arial" w:hAnsi="Arial" w:cs="Arial"/>
          <w:u w:val="single"/>
        </w:rPr>
        <w:t xml:space="preserve">desclassificará aquelas que não estiverem em consonância com as regras estabelecidas no instrumento convocatório</w:t>
      </w:r>
      <w:r>
        <w:rPr>
          <w:rFonts w:ascii="Arial" w:hAnsi="Arial" w:cs="Arial"/>
        </w:rPr>
        <w:t xml:space="preserve">, </w:t>
      </w:r>
      <w:r>
        <w:rPr>
          <w:rFonts w:ascii="Arial" w:hAnsi="Arial" w:cs="Arial"/>
          <w:color w:val="000000"/>
        </w:rPr>
        <w:t xml:space="preserve">tais como: </w:t>
      </w:r>
      <w:r>
        <w:rPr>
          <w:rFonts w:ascii="Arial" w:hAnsi="Arial" w:cs="Arial"/>
        </w:rPr>
      </w:r>
    </w:p>
    <w:p w14:paraId="6A693854"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61A2CF2C" w14:textId="77777777">
      <w:pPr>
        <w:pBdr/>
        <w:spacing/>
        <w:ind/>
        <w:jc w:val="both"/>
        <w:rPr>
          <w:rFonts w:ascii="Arial" w:hAnsi="Arial" w:cs="Arial"/>
        </w:rPr>
      </w:pPr>
      <w:r>
        <w:rPr>
          <w:rFonts w:ascii="Arial" w:hAnsi="Arial" w:cs="Arial"/>
          <w:b/>
        </w:rPr>
        <w:t xml:space="preserve">7.2.1</w:t>
      </w:r>
      <w:r>
        <w:rPr>
          <w:rFonts w:ascii="Arial" w:hAnsi="Arial" w:cs="Arial"/>
        </w:rPr>
        <w:t xml:space="preserve">. Valores iguais a zero, erros e desvios nos preços de forma a suscitar dúbia interpretação; </w:t>
      </w:r>
      <w:r>
        <w:rPr>
          <w:rFonts w:ascii="Arial" w:hAnsi="Arial" w:cs="Arial"/>
        </w:rPr>
      </w:r>
    </w:p>
    <w:p w14:paraId="3DF2B0F6" w14:textId="77777777">
      <w:pPr>
        <w:pBdr/>
        <w:spacing/>
        <w:ind/>
        <w:jc w:val="both"/>
        <w:rPr>
          <w:rFonts w:ascii="Arial" w:hAnsi="Arial" w:cs="Arial"/>
          <w:b/>
        </w:rPr>
      </w:pPr>
      <w:r>
        <w:rPr>
          <w:rFonts w:ascii="Arial" w:hAnsi="Arial" w:cs="Arial"/>
          <w:b/>
        </w:rPr>
      </w:r>
      <w:r>
        <w:rPr>
          <w:rFonts w:ascii="Arial" w:hAnsi="Arial" w:cs="Arial"/>
          <w:b/>
        </w:rPr>
      </w:r>
    </w:p>
    <w:p w14:paraId="227BAF60" w14:textId="77777777">
      <w:pPr>
        <w:pBdr/>
        <w:spacing/>
        <w:ind/>
        <w:jc w:val="both"/>
        <w:rPr>
          <w:rFonts w:ascii="Arial" w:hAnsi="Arial" w:cs="Arial"/>
        </w:rPr>
      </w:pPr>
      <w:r>
        <w:rPr>
          <w:rFonts w:ascii="Arial" w:hAnsi="Arial" w:cs="Arial"/>
          <w:b/>
        </w:rPr>
        <w:t xml:space="preserve">7.3.</w:t>
      </w:r>
      <w:r>
        <w:rPr>
          <w:rFonts w:ascii="Arial" w:hAnsi="Arial" w:cs="Arial"/>
        </w:rPr>
        <w:t xml:space="preserve"> A decisão sobre classificação ou desclassificação de propostas comerciais será disponibilizada no sistema eletrônico para acompanhamento em tempo real por todas as empresas licitantes. </w:t>
      </w:r>
      <w:r>
        <w:rPr>
          <w:rFonts w:ascii="Arial" w:hAnsi="Arial" w:cs="Arial"/>
        </w:rPr>
      </w:r>
    </w:p>
    <w:p w14:paraId="7E03BFD3"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70E30C91" w14:textId="77777777">
      <w:pPr>
        <w:pStyle w:val="882"/>
        <w:pBdr/>
        <w:spacing w:after="0" w:before="0"/>
        <w:ind/>
        <w:rPr>
          <w:sz w:val="20"/>
          <w:szCs w:val="20"/>
          <w:lang w:val="pt-BR"/>
        </w:rPr>
      </w:pPr>
      <w:r/>
      <w:bookmarkStart w:id="13" w:name="_heading=h.t8mjmerthvv"/>
      <w:r/>
      <w:bookmarkEnd w:id="13"/>
      <w:r>
        <w:rPr>
          <w:sz w:val="20"/>
          <w:szCs w:val="20"/>
          <w:lang w:val="pt-BR"/>
        </w:rPr>
        <w:t xml:space="preserve">8. DA FORMA DE DISPUTA:</w:t>
      </w:r>
      <w:r>
        <w:rPr>
          <w:sz w:val="20"/>
          <w:szCs w:val="20"/>
          <w:lang w:val="pt-BR"/>
        </w:rPr>
      </w:r>
    </w:p>
    <w:p w14:paraId="51660DE3"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532F9701" w14:textId="77777777">
      <w:pPr>
        <w:pBdr/>
        <w:spacing/>
        <w:ind/>
        <w:jc w:val="both"/>
        <w:rPr>
          <w:rFonts w:ascii="Arial" w:hAnsi="Arial" w:eastAsia="Arial" w:cs="Arial"/>
          <w:color w:val="000000"/>
        </w:rPr>
      </w:pPr>
      <w:r>
        <w:rPr>
          <w:rFonts w:ascii="Arial" w:hAnsi="Arial" w:eastAsia="Arial" w:cs="Arial"/>
          <w:b/>
          <w:color w:val="000000"/>
        </w:rPr>
        <w:t xml:space="preserve">8.1.</w:t>
      </w:r>
      <w:r>
        <w:rPr>
          <w:rFonts w:ascii="Arial" w:hAnsi="Arial" w:eastAsia="Arial" w:cs="Arial"/>
          <w:color w:val="000000"/>
        </w:rPr>
        <w:t xml:space="preserve">Será adotado para o envio de lances no pregão eletrônico o </w:t>
      </w:r>
      <w:r>
        <w:rPr>
          <w:rFonts w:ascii="Arial" w:hAnsi="Arial" w:eastAsia="Arial" w:cs="Arial"/>
          <w:b/>
          <w:color w:val="000000"/>
        </w:rPr>
        <w:t xml:space="preserve">modo de disputa aberto</w:t>
      </w:r>
      <w:r>
        <w:rPr>
          <w:rFonts w:ascii="Arial" w:hAnsi="Arial" w:eastAsia="Arial" w:cs="Arial"/>
          <w:color w:val="000000"/>
        </w:rPr>
        <w:t xml:space="preserve"> onde os licitantes apresentarão lances públicos e sucessivos, com prorrogações, conforme o critério de julgamento adotado no edital.</w:t>
      </w:r>
      <w:r>
        <w:rPr>
          <w:rFonts w:ascii="Arial" w:hAnsi="Arial" w:eastAsia="Arial" w:cs="Arial"/>
          <w:color w:val="000000"/>
        </w:rPr>
      </w:r>
    </w:p>
    <w:p w14:paraId="63C0DD86" w14:textId="77777777">
      <w:pPr>
        <w:pBdr/>
        <w:spacing/>
        <w:ind/>
        <w:jc w:val="both"/>
        <w:rPr>
          <w:rFonts w:ascii="Arial" w:hAnsi="Arial" w:eastAsia="Arial" w:cs="Arial"/>
          <w:b/>
          <w:color w:val="000000"/>
        </w:rPr>
      </w:pPr>
      <w:r>
        <w:rPr>
          <w:rFonts w:ascii="Arial" w:hAnsi="Arial" w:eastAsia="Arial" w:cs="Arial"/>
          <w:b/>
          <w:color w:val="000000"/>
        </w:rPr>
      </w:r>
      <w:r>
        <w:rPr>
          <w:rFonts w:ascii="Arial" w:hAnsi="Arial" w:eastAsia="Arial" w:cs="Arial"/>
          <w:b/>
          <w:color w:val="000000"/>
        </w:rPr>
      </w:r>
    </w:p>
    <w:p w14:paraId="78FF478D" w14:textId="77777777">
      <w:pPr>
        <w:pBdr/>
        <w:spacing/>
        <w:ind/>
        <w:jc w:val="both"/>
        <w:rPr>
          <w:rFonts w:ascii="Arial" w:hAnsi="Arial" w:eastAsia="Arial" w:cs="Arial"/>
          <w:color w:val="000000"/>
        </w:rPr>
      </w:pPr>
      <w:r>
        <w:rPr>
          <w:rFonts w:ascii="Arial" w:hAnsi="Arial" w:eastAsia="Arial" w:cs="Arial"/>
          <w:b/>
          <w:color w:val="000000"/>
        </w:rPr>
        <w:t xml:space="preserve">8.2. </w:t>
      </w:r>
      <w:r>
        <w:rPr>
          <w:rFonts w:ascii="Arial" w:hAnsi="Arial" w:eastAsia="Arial" w:cs="Arial"/>
          <w:color w:val="000000"/>
        </w:rPr>
        <w:t xml:space="preserve">A etapa de lances da sessão pública terá duração de dez minutos e, após isso, será prorrogada automaticamente pelo sistema quando houver lance ofertado nos últimos dois minutos do período de duração da sessão pública.</w:t>
      </w:r>
      <w:r>
        <w:rPr>
          <w:rFonts w:ascii="Arial" w:hAnsi="Arial" w:eastAsia="Arial" w:cs="Arial"/>
          <w:color w:val="000000"/>
        </w:rPr>
      </w:r>
    </w:p>
    <w:p w14:paraId="7468DF4F" w14:textId="77777777">
      <w:pPr>
        <w:pBdr/>
        <w:spacing/>
        <w:ind/>
        <w:jc w:val="both"/>
        <w:rPr>
          <w:rFonts w:ascii="Arial" w:hAnsi="Arial" w:eastAsia="Arial" w:cs="Arial"/>
          <w:color w:val="000000"/>
        </w:rPr>
      </w:pPr>
      <w:r>
        <w:rPr>
          <w:rFonts w:ascii="Arial" w:hAnsi="Arial" w:eastAsia="Arial" w:cs="Arial"/>
          <w:b/>
          <w:color w:val="000000"/>
        </w:rPr>
        <w:t xml:space="preserve">8.3.</w:t>
      </w:r>
      <w:r>
        <w:rPr>
          <w:rFonts w:ascii="Arial" w:hAnsi="Arial" w:eastAsia="Arial" w:cs="Arial"/>
          <w:color w:val="000000"/>
        </w:rPr>
        <w:t xml:space="preserve"> A prorrogação automática da etapa de envio de lances, será de dois minutos e ocorrerá sucessivamente sempre que houver lances enviados nesse período de prorrogação, inclusive quando se tratar de lances intermediários.</w:t>
      </w:r>
      <w:r>
        <w:rPr>
          <w:rFonts w:ascii="Arial" w:hAnsi="Arial" w:eastAsia="Arial" w:cs="Arial"/>
          <w:color w:val="000000"/>
        </w:rPr>
      </w:r>
    </w:p>
    <w:p w14:paraId="764BD9E6" w14:textId="77777777">
      <w:pPr>
        <w:pBdr/>
        <w:spacing/>
        <w:ind/>
        <w:jc w:val="both"/>
        <w:rPr>
          <w:rFonts w:ascii="Arial" w:hAnsi="Arial" w:eastAsia="Arial" w:cs="Arial"/>
          <w:b/>
          <w:color w:val="000000"/>
        </w:rPr>
      </w:pPr>
      <w:r>
        <w:rPr>
          <w:rFonts w:ascii="Arial" w:hAnsi="Arial" w:eastAsia="Arial" w:cs="Arial"/>
          <w:b/>
          <w:color w:val="000000"/>
        </w:rPr>
      </w:r>
      <w:r>
        <w:rPr>
          <w:rFonts w:ascii="Arial" w:hAnsi="Arial" w:eastAsia="Arial" w:cs="Arial"/>
          <w:b/>
          <w:color w:val="000000"/>
        </w:rPr>
      </w:r>
    </w:p>
    <w:p w14:paraId="56F344AA" w14:textId="77777777">
      <w:pPr>
        <w:pBdr/>
        <w:spacing/>
        <w:ind/>
        <w:jc w:val="both"/>
        <w:rPr>
          <w:rFonts w:ascii="Arial" w:hAnsi="Arial" w:eastAsia="Arial" w:cs="Arial"/>
          <w:color w:val="000000"/>
        </w:rPr>
      </w:pPr>
      <w:r>
        <w:rPr>
          <w:rFonts w:ascii="Arial" w:hAnsi="Arial" w:eastAsia="Arial" w:cs="Arial"/>
          <w:b/>
          <w:color w:val="000000"/>
        </w:rPr>
        <w:t xml:space="preserve">8.4.</w:t>
      </w:r>
      <w:r>
        <w:rPr>
          <w:rFonts w:ascii="Arial" w:hAnsi="Arial" w:eastAsia="Arial" w:cs="Arial"/>
          <w:color w:val="000000"/>
        </w:rPr>
        <w:t xml:space="preserve"> Não havendo novos lances na forma estabelecida nos itens </w:t>
      </w:r>
      <w:r>
        <w:rPr>
          <w:rFonts w:ascii="Arial" w:hAnsi="Arial" w:eastAsia="Arial" w:cs="Arial"/>
          <w:b/>
          <w:color w:val="000000"/>
        </w:rPr>
        <w:t xml:space="preserve">8.2</w:t>
      </w:r>
      <w:r>
        <w:rPr>
          <w:rFonts w:ascii="Arial" w:hAnsi="Arial" w:eastAsia="Arial" w:cs="Arial"/>
          <w:color w:val="000000"/>
        </w:rPr>
        <w:t xml:space="preserve"> e </w:t>
      </w:r>
      <w:r>
        <w:rPr>
          <w:rFonts w:ascii="Arial" w:hAnsi="Arial" w:eastAsia="Arial" w:cs="Arial"/>
          <w:b/>
          <w:color w:val="000000"/>
        </w:rPr>
        <w:t xml:space="preserve">8.3</w:t>
      </w:r>
      <w:r>
        <w:rPr>
          <w:rFonts w:ascii="Arial" w:hAnsi="Arial" w:eastAsia="Arial" w:cs="Arial"/>
          <w:color w:val="000000"/>
        </w:rPr>
        <w:t xml:space="preserve">, a sessão pública encerrar-se-á automaticamente, e o sistema ordenará e divulgará os lances conforme a ordem final de classificação.</w:t>
      </w:r>
      <w:r>
        <w:rPr>
          <w:rFonts w:ascii="Arial" w:hAnsi="Arial" w:eastAsia="Arial" w:cs="Arial"/>
          <w:color w:val="000000"/>
        </w:rPr>
      </w:r>
    </w:p>
    <w:p w14:paraId="4D9E0E31" w14:textId="77777777">
      <w:pPr>
        <w:pBdr/>
        <w:spacing/>
        <w:ind/>
        <w:jc w:val="both"/>
        <w:rPr>
          <w:rFonts w:ascii="Arial" w:hAnsi="Arial" w:eastAsia="Arial" w:cs="Arial"/>
          <w:b/>
          <w:color w:val="000000"/>
        </w:rPr>
      </w:pPr>
      <w:r>
        <w:rPr>
          <w:rFonts w:ascii="Arial" w:hAnsi="Arial" w:eastAsia="Arial" w:cs="Arial"/>
          <w:b/>
          <w:color w:val="000000"/>
        </w:rPr>
      </w:r>
      <w:r>
        <w:rPr>
          <w:rFonts w:ascii="Arial" w:hAnsi="Arial" w:eastAsia="Arial" w:cs="Arial"/>
          <w:b/>
          <w:color w:val="000000"/>
        </w:rPr>
      </w:r>
    </w:p>
    <w:p w14:paraId="43933EE0" w14:textId="77777777">
      <w:pPr>
        <w:pStyle w:val="882"/>
        <w:pBdr/>
        <w:spacing w:after="0" w:before="0"/>
        <w:ind/>
        <w:rPr>
          <w:sz w:val="20"/>
          <w:szCs w:val="20"/>
          <w:lang w:val="pt-BR"/>
        </w:rPr>
      </w:pPr>
      <w:r/>
      <w:bookmarkStart w:id="14" w:name="_heading=h.u172ycft2ekg"/>
      <w:r/>
      <w:bookmarkEnd w:id="14"/>
      <w:r>
        <w:rPr>
          <w:sz w:val="20"/>
          <w:szCs w:val="20"/>
          <w:lang w:val="pt-BR"/>
        </w:rPr>
        <w:t xml:space="preserve">9. DA FASE DE LANCES: </w:t>
      </w:r>
      <w:r>
        <w:rPr>
          <w:sz w:val="20"/>
          <w:szCs w:val="20"/>
          <w:lang w:val="pt-BR"/>
        </w:rPr>
      </w:r>
    </w:p>
    <w:p w14:paraId="02DFDF63"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61897B6E" w14:textId="77777777">
      <w:pPr>
        <w:pBdr/>
        <w:spacing/>
        <w:ind/>
        <w:jc w:val="both"/>
        <w:rPr>
          <w:rFonts w:ascii="Arial" w:hAnsi="Arial" w:eastAsia="Arial" w:cs="Arial"/>
        </w:rPr>
      </w:pPr>
      <w:r>
        <w:rPr>
          <w:rFonts w:ascii="Arial" w:hAnsi="Arial" w:eastAsia="Arial" w:cs="Arial"/>
          <w:b/>
        </w:rPr>
        <w:t xml:space="preserve">9.1.</w:t>
      </w:r>
      <w:r>
        <w:rPr>
          <w:rFonts w:ascii="Arial" w:hAnsi="Arial" w:eastAsia="Arial" w:cs="Arial"/>
        </w:rPr>
        <w:t xml:space="preserve"> Após a classificação das propostas, iniciar-se-á a fase de lances, na qual os autores das propostas classificadas pelo Pregoeiro poderão </w:t>
      </w:r>
      <w:r>
        <w:rPr>
          <w:rFonts w:ascii="Arial" w:hAnsi="Arial" w:eastAsia="Arial" w:cs="Arial"/>
          <w:b/>
        </w:rPr>
        <w:t xml:space="preserve">oferecer lances</w:t>
      </w:r>
      <w:r>
        <w:rPr>
          <w:rFonts w:ascii="Arial" w:hAnsi="Arial" w:eastAsia="Arial" w:cs="Arial"/>
        </w:rPr>
        <w:t xml:space="preserve">, obrigatoriamente por meio do sistema eletrônico, sem restrições de quantidade de lances ou de qualquer ordem classificatória ou cronológica específica, mas sempre inferior ao último lance ofertado. </w:t>
      </w:r>
      <w:r>
        <w:rPr>
          <w:rFonts w:ascii="Arial" w:hAnsi="Arial" w:eastAsia="Arial" w:cs="Arial"/>
        </w:rPr>
      </w:r>
    </w:p>
    <w:p w14:paraId="72511A14"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2C62706C" w14:textId="77777777">
      <w:pPr>
        <w:pBdr/>
        <w:spacing/>
        <w:ind/>
        <w:jc w:val="both"/>
        <w:rPr>
          <w:rFonts w:ascii="Arial" w:hAnsi="Arial" w:eastAsia="Arial" w:cs="Arial"/>
          <w:color w:val="000000"/>
        </w:rPr>
      </w:pPr>
      <w:r>
        <w:rPr>
          <w:rFonts w:ascii="Arial" w:hAnsi="Arial" w:eastAsia="Arial" w:cs="Arial"/>
          <w:b/>
        </w:rPr>
        <w:t xml:space="preserve">9.2.</w:t>
      </w:r>
      <w:r>
        <w:rPr>
          <w:rFonts w:ascii="Arial" w:hAnsi="Arial" w:eastAsia="Arial" w:cs="Arial"/>
        </w:rPr>
        <w:t xml:space="preserve"> </w:t>
      </w:r>
      <w:r>
        <w:rPr>
          <w:rFonts w:ascii="Arial" w:hAnsi="Arial" w:eastAsia="Arial" w:cs="Arial"/>
          <w:color w:val="000000"/>
        </w:rPr>
        <w:t xml:space="preserve">Caberá a licitante acompanha</w:t>
      </w:r>
      <w:r>
        <w:rPr>
          <w:rFonts w:ascii="Arial" w:hAnsi="Arial" w:eastAsia="Arial" w:cs="Arial"/>
          <w:color w:val="000000"/>
        </w:rPr>
        <w:t xml:space="preserve">r as operações no sistema eletrônico durante a sessão pública deste Pregão Eletrônico, ficando responsável pelo ônus decorrente da perda de negócios diante da inobservância de quaisquer mensagens emitidas pelo sistema ou da desconexão do seu representante;</w:t>
      </w:r>
      <w:r>
        <w:rPr>
          <w:rFonts w:ascii="Arial" w:hAnsi="Arial" w:eastAsia="Arial" w:cs="Arial"/>
          <w:color w:val="000000"/>
        </w:rPr>
      </w:r>
    </w:p>
    <w:p w14:paraId="577F9C26"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5596517E" w14:textId="77777777">
      <w:pPr>
        <w:pBdr/>
        <w:spacing/>
        <w:ind/>
        <w:jc w:val="both"/>
        <w:rPr>
          <w:rFonts w:ascii="Arial" w:hAnsi="Arial" w:eastAsia="Arial" w:cs="Arial"/>
        </w:rPr>
      </w:pPr>
      <w:r>
        <w:rPr>
          <w:rFonts w:ascii="Arial" w:hAnsi="Arial" w:eastAsia="Arial" w:cs="Arial"/>
          <w:b/>
        </w:rPr>
        <w:t xml:space="preserve">9.3.</w:t>
      </w:r>
      <w:r>
        <w:rPr>
          <w:rFonts w:ascii="Arial" w:hAnsi="Arial" w:eastAsia="Arial" w:cs="Arial"/>
        </w:rPr>
        <w:t xml:space="preserve"> No caso de desconexão do sistema com o Pregoeiro no decorrer da et</w:t>
      </w:r>
      <w:r>
        <w:rPr>
          <w:rFonts w:ascii="Arial" w:hAnsi="Arial" w:eastAsia="Arial" w:cs="Arial"/>
        </w:rPr>
        <w:t xml:space="preserve">apa competitiva do pregão, o sistema eletrônico poderá permanecer acessível aos licitantes para a recepção dos lances, os quais continuarão sendo registrados, retornando a conexão o Pregoeiro dará continuidade ao certame, sem prejuízo dos atos realizados. </w:t>
      </w:r>
      <w:r>
        <w:rPr>
          <w:rFonts w:ascii="Arial" w:hAnsi="Arial" w:eastAsia="Arial" w:cs="Arial"/>
        </w:rPr>
      </w:r>
    </w:p>
    <w:p w14:paraId="02C13A00" w14:textId="77777777">
      <w:pPr>
        <w:pBdr/>
        <w:spacing/>
        <w:ind/>
        <w:jc w:val="both"/>
        <w:rPr>
          <w:rFonts w:ascii="Arial" w:hAnsi="Arial" w:eastAsia="Arial" w:cs="Arial"/>
          <w:b/>
          <w:color w:val="000000"/>
        </w:rPr>
      </w:pPr>
      <w:r>
        <w:rPr>
          <w:rFonts w:ascii="Arial" w:hAnsi="Arial" w:eastAsia="Arial" w:cs="Arial"/>
          <w:b/>
          <w:color w:val="000000"/>
        </w:rPr>
      </w:r>
      <w:r>
        <w:rPr>
          <w:rFonts w:ascii="Arial" w:hAnsi="Arial" w:eastAsia="Arial" w:cs="Arial"/>
          <w:b/>
          <w:color w:val="000000"/>
        </w:rPr>
      </w:r>
    </w:p>
    <w:p w14:paraId="49DAC2B4" w14:textId="77777777">
      <w:pPr>
        <w:pBdr/>
        <w:spacing/>
        <w:ind/>
        <w:jc w:val="both"/>
        <w:rPr>
          <w:rFonts w:ascii="Arial" w:hAnsi="Arial" w:eastAsia="Arial" w:cs="Arial"/>
          <w:color w:val="000000"/>
        </w:rPr>
      </w:pPr>
      <w:r>
        <w:rPr>
          <w:rFonts w:ascii="Arial" w:hAnsi="Arial" w:eastAsia="Arial" w:cs="Arial"/>
          <w:b/>
          <w:color w:val="000000"/>
        </w:rPr>
        <w:t xml:space="preserve">9.4.</w:t>
      </w:r>
      <w:r>
        <w:rPr>
          <w:rFonts w:ascii="Arial" w:hAnsi="Arial" w:eastAsia="Arial" w:cs="Arial"/>
          <w:color w:val="000000"/>
        </w:rPr>
        <w:t xml:space="preserve"> Quando a desconexão persistir por tempo superior a 10 (dez) minutos, a sessão do pregão será suspensa e terá reinício somente após comunicação expressa aos participantes por meio do próprio sistema. Ficando o licitante responsável pelo acompanhamento. </w:t>
      </w:r>
      <w:r>
        <w:rPr>
          <w:rFonts w:ascii="Arial" w:hAnsi="Arial" w:eastAsia="Arial" w:cs="Arial"/>
          <w:color w:val="000000"/>
        </w:rPr>
      </w:r>
    </w:p>
    <w:p w14:paraId="686C4FC7"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1E3D74B7" w14:textId="77777777">
      <w:pPr>
        <w:pBdr/>
        <w:spacing/>
        <w:ind/>
        <w:jc w:val="both"/>
        <w:rPr>
          <w:rFonts w:ascii="Arial" w:hAnsi="Arial" w:eastAsia="Arial" w:cs="Arial"/>
        </w:rPr>
      </w:pPr>
      <w:r>
        <w:rPr>
          <w:rFonts w:ascii="Arial" w:hAnsi="Arial" w:eastAsia="Arial" w:cs="Arial"/>
          <w:b/>
        </w:rPr>
        <w:t xml:space="preserve">9.5.</w:t>
      </w:r>
      <w:r>
        <w:rPr>
          <w:rFonts w:ascii="Arial" w:hAnsi="Arial" w:eastAsia="Arial" w:cs="Arial"/>
        </w:rPr>
        <w:t xml:space="preserve"> Durante o transcurso da sessão de lances, os participantes serão informados em tempo real, do valor do menor lance registrado. </w:t>
      </w:r>
      <w:r>
        <w:rPr>
          <w:rFonts w:ascii="Arial" w:hAnsi="Arial" w:eastAsia="Arial" w:cs="Arial"/>
        </w:rPr>
      </w:r>
    </w:p>
    <w:p w14:paraId="36B347C7"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16D57915" w14:textId="77777777">
      <w:pPr>
        <w:pBdr/>
        <w:spacing/>
        <w:ind/>
        <w:jc w:val="both"/>
        <w:rPr>
          <w:rFonts w:ascii="Arial" w:hAnsi="Arial" w:eastAsia="Arial" w:cs="Arial"/>
        </w:rPr>
      </w:pPr>
      <w:r>
        <w:rPr>
          <w:rFonts w:ascii="Arial" w:hAnsi="Arial" w:eastAsia="Arial" w:cs="Arial"/>
          <w:b/>
          <w:color w:val="000000"/>
        </w:rPr>
        <w:t xml:space="preserve">9.5.1.</w:t>
      </w:r>
      <w:r>
        <w:rPr>
          <w:rFonts w:ascii="Arial" w:hAnsi="Arial" w:eastAsia="Arial" w:cs="Arial"/>
          <w:color w:val="000000"/>
        </w:rPr>
        <w:t xml:space="preserve"> N</w:t>
      </w:r>
      <w:r>
        <w:rPr>
          <w:rFonts w:ascii="Arial" w:hAnsi="Arial" w:eastAsia="Arial" w:cs="Arial"/>
        </w:rPr>
        <w:t xml:space="preserve">esse momento o sistema ainda não identifica as empresas participantes as propostas continuam aparecendo em forma de número (participante 1, 2, 3 e assim sucessivamente, no lote seguinte o sistema alterna o número dos participantes). </w:t>
      </w:r>
      <w:r>
        <w:rPr>
          <w:rFonts w:ascii="Arial" w:hAnsi="Arial" w:eastAsia="Arial" w:cs="Arial"/>
        </w:rPr>
      </w:r>
    </w:p>
    <w:p w14:paraId="1692E1AA"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1BE7F1BB" w14:textId="77777777">
      <w:pPr>
        <w:pBdr/>
        <w:spacing/>
        <w:ind/>
        <w:jc w:val="both"/>
        <w:rPr>
          <w:rFonts w:ascii="Arial" w:hAnsi="Arial" w:eastAsia="Arial" w:cs="Arial"/>
          <w:color w:val="000000"/>
        </w:rPr>
      </w:pPr>
      <w:r>
        <w:rPr>
          <w:rFonts w:ascii="Arial" w:hAnsi="Arial" w:eastAsia="Arial" w:cs="Arial"/>
          <w:b/>
          <w:color w:val="000000"/>
        </w:rPr>
        <w:t xml:space="preserve">9.6.</w:t>
      </w:r>
      <w:r>
        <w:rPr>
          <w:rFonts w:ascii="Arial" w:hAnsi="Arial" w:eastAsia="Arial" w:cs="Arial"/>
          <w:color w:val="000000"/>
        </w:rPr>
        <w:t xml:space="preserve"> O licitante somente poderá oferecer valor inferior ao último lance po</w:t>
      </w:r>
      <w:r>
        <w:rPr>
          <w:rFonts w:ascii="Arial" w:hAnsi="Arial" w:eastAsia="Arial" w:cs="Arial"/>
          <w:color w:val="000000"/>
        </w:rPr>
        <w:t xml:space="preserve">r ele ofertado e registrado pelo sistema, observado, quando houver, o intervalo mínimo de diferença de valores ou de percentuais entre os lances, que incidirá tanto em relação aos lances intermediários quanto em relação ao lance que cobrir a melhor oferta.</w:t>
      </w:r>
      <w:r>
        <w:rPr>
          <w:rFonts w:ascii="Arial" w:hAnsi="Arial" w:eastAsia="Arial" w:cs="Arial"/>
          <w:color w:val="000000"/>
        </w:rPr>
      </w:r>
    </w:p>
    <w:p w14:paraId="2C31448A"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791F1F0C" w14:textId="77777777">
      <w:pPr>
        <w:pBdr/>
        <w:spacing/>
        <w:ind/>
        <w:jc w:val="both"/>
        <w:rPr>
          <w:rFonts w:ascii="Arial" w:hAnsi="Arial" w:eastAsia="Arial" w:cs="Arial"/>
        </w:rPr>
      </w:pPr>
      <w:r>
        <w:rPr>
          <w:rFonts w:ascii="Arial" w:hAnsi="Arial" w:eastAsia="Arial" w:cs="Arial"/>
          <w:b/>
        </w:rPr>
        <w:t xml:space="preserve">9.7.</w:t>
      </w:r>
      <w:r>
        <w:rPr>
          <w:rFonts w:ascii="Arial" w:hAnsi="Arial" w:eastAsia="Arial" w:cs="Arial"/>
        </w:rPr>
        <w:t xml:space="preserve"> Quando houver um único licitante ou uma única proposta válida, caberá ao Pregoeiro verificar a aceitabilidade do valor ofertado com base no valor de referência levantado pelas secretarias solicitantes.</w:t>
      </w:r>
      <w:r>
        <w:rPr>
          <w:rFonts w:ascii="Arial" w:hAnsi="Arial" w:eastAsia="Arial" w:cs="Arial"/>
        </w:rPr>
      </w:r>
    </w:p>
    <w:p w14:paraId="39F7030D"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543CCE95" w14:textId="77777777">
      <w:pPr>
        <w:pBdr/>
        <w:spacing/>
        <w:ind/>
        <w:jc w:val="both"/>
        <w:rPr>
          <w:rFonts w:ascii="Arial" w:hAnsi="Arial" w:eastAsia="Arial" w:cs="Arial"/>
        </w:rPr>
      </w:pPr>
      <w:r>
        <w:rPr>
          <w:rFonts w:ascii="Arial" w:hAnsi="Arial" w:eastAsia="Arial" w:cs="Arial"/>
          <w:b/>
        </w:rPr>
        <w:t xml:space="preserve">9.8.</w:t>
      </w:r>
      <w:r>
        <w:rPr>
          <w:rFonts w:ascii="Arial" w:hAnsi="Arial" w:eastAsia="Arial" w:cs="Arial"/>
        </w:rPr>
        <w:t xml:space="preserve"> Na hipótese de haver lances ou propostas iguais prevalecerão como de menor valor o lance que tiver sido primeiramente registrado. </w:t>
      </w:r>
      <w:r>
        <w:rPr>
          <w:rFonts w:ascii="Arial" w:hAnsi="Arial" w:eastAsia="Arial" w:cs="Arial"/>
        </w:rPr>
      </w:r>
    </w:p>
    <w:p w14:paraId="3BCE0132"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6910B78C" w14:textId="77777777">
      <w:pPr>
        <w:pBdr/>
        <w:spacing/>
        <w:ind/>
        <w:jc w:val="both"/>
        <w:rPr>
          <w:rFonts w:ascii="Arial" w:hAnsi="Arial" w:eastAsia="Arial" w:cs="Arial"/>
        </w:rPr>
      </w:pPr>
      <w:r>
        <w:rPr>
          <w:rFonts w:ascii="Arial" w:hAnsi="Arial" w:eastAsia="Arial" w:cs="Arial"/>
          <w:b/>
        </w:rPr>
        <w:t xml:space="preserve">9.9.</w:t>
      </w:r>
      <w:r>
        <w:rPr>
          <w:rFonts w:ascii="Arial" w:hAnsi="Arial" w:eastAsia="Arial" w:cs="Arial"/>
        </w:rPr>
        <w:t xml:space="preserve"> Nesse momento após o encerramento da etapa de lances do item ou lote conforme o caso, o sistema informará a propos</w:t>
      </w:r>
      <w:r>
        <w:rPr>
          <w:rFonts w:ascii="Arial" w:hAnsi="Arial" w:eastAsia="Arial" w:cs="Arial"/>
        </w:rPr>
        <w:t xml:space="preserve">ta de menor valor, identificando as empresas participantes pela razão social, verificará e classificará a licitante que se enquadrar como microempresa ou empresa de pequeno porte, nos termos do art. 3º da Lei Complementar nº 123, de 14 de dezembro de 2006.</w:t>
      </w:r>
      <w:r>
        <w:rPr>
          <w:rFonts w:ascii="Arial" w:hAnsi="Arial" w:eastAsia="Arial" w:cs="Arial"/>
        </w:rPr>
      </w:r>
    </w:p>
    <w:p w14:paraId="415E74A3"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5FAD77F1" w14:textId="77777777">
      <w:pPr>
        <w:pBdr/>
        <w:spacing/>
        <w:ind/>
        <w:jc w:val="both"/>
        <w:rPr>
          <w:rFonts w:ascii="Arial" w:hAnsi="Arial" w:eastAsia="Arial" w:cs="Arial"/>
        </w:rPr>
      </w:pPr>
      <w:r>
        <w:rPr>
          <w:rFonts w:ascii="Arial" w:hAnsi="Arial" w:eastAsia="Arial" w:cs="Arial"/>
          <w:b/>
        </w:rPr>
        <w:t xml:space="preserve">9.10. </w:t>
      </w:r>
      <w:r>
        <w:rPr>
          <w:rFonts w:ascii="Arial" w:hAnsi="Arial" w:eastAsia="Arial" w:cs="Arial"/>
        </w:rPr>
        <w:t xml:space="preserve">Apó</w:t>
      </w:r>
      <w:r>
        <w:rPr>
          <w:rFonts w:ascii="Arial" w:hAnsi="Arial" w:eastAsia="Arial" w:cs="Arial"/>
        </w:rPr>
        <w:t xml:space="preserve">s a disputa final, no caso de empate entre duas ou mais propostas, hipótese em que os licitantes empatados poderão apresentar nova proposta em ato contínuo à classificação, nesse caso, os critérios de desempate são os previstos no art. 60 da Lei 14.133/21.</w:t>
      </w:r>
      <w:r>
        <w:rPr>
          <w:rFonts w:ascii="Arial" w:hAnsi="Arial" w:eastAsia="Arial" w:cs="Arial"/>
        </w:rPr>
      </w:r>
    </w:p>
    <w:p w14:paraId="1CDF3384"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39C81610" w14:textId="77777777">
      <w:pPr>
        <w:pBdr/>
        <w:spacing/>
        <w:ind/>
        <w:jc w:val="both"/>
        <w:rPr>
          <w:rFonts w:ascii="Arial" w:hAnsi="Arial" w:eastAsia="Arial" w:cs="Arial"/>
        </w:rPr>
      </w:pPr>
      <w:r>
        <w:rPr>
          <w:rFonts w:ascii="Arial" w:hAnsi="Arial" w:eastAsia="Arial" w:cs="Arial"/>
          <w:b/>
        </w:rPr>
        <w:t xml:space="preserve">9.10.1.</w:t>
      </w:r>
      <w:r>
        <w:rPr>
          <w:rFonts w:ascii="Arial" w:hAnsi="Arial" w:eastAsia="Arial" w:cs="Arial"/>
        </w:rPr>
        <w:t xml:space="preserve"> Só poderá haver empate entre propostas iguais (não seguidas de lances), ou entre lances finais da fase fechada do modo de disputa aberto e fechado.</w:t>
      </w:r>
      <w:r>
        <w:rPr>
          <w:rFonts w:ascii="Arial" w:hAnsi="Arial" w:eastAsia="Arial" w:cs="Arial"/>
        </w:rPr>
      </w:r>
    </w:p>
    <w:p w14:paraId="4C0325C0"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2FCC0A99" w14:textId="77777777">
      <w:pPr>
        <w:pBdr/>
        <w:spacing/>
        <w:ind/>
        <w:jc w:val="both"/>
        <w:rPr>
          <w:rFonts w:ascii="Arial" w:hAnsi="Arial" w:eastAsia="Arial" w:cs="Arial"/>
        </w:rPr>
      </w:pPr>
      <w:r>
        <w:rPr>
          <w:rFonts w:ascii="Arial" w:hAnsi="Arial" w:eastAsia="Arial" w:cs="Arial"/>
          <w:b/>
        </w:rPr>
        <w:t xml:space="preserve">9.10.2.</w:t>
      </w:r>
      <w:r>
        <w:rPr>
          <w:rFonts w:ascii="Arial" w:hAnsi="Arial" w:eastAsia="Arial" w:cs="Arial"/>
        </w:rPr>
        <w:t xml:space="preserve"> Havendo eventual empate entre propostas ou lances, o critério de desempate será aquele previsto no art. 60 da Lei nº 14.133, de 2021.</w:t>
      </w:r>
      <w:r>
        <w:rPr>
          <w:rFonts w:ascii="Arial" w:hAnsi="Arial" w:eastAsia="Arial" w:cs="Arial"/>
        </w:rPr>
      </w:r>
    </w:p>
    <w:p w14:paraId="41BF4CE0"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62F4F72D" w14:textId="77777777">
      <w:pPr>
        <w:pBdr/>
        <w:spacing/>
        <w:ind/>
        <w:jc w:val="both"/>
        <w:rPr>
          <w:rFonts w:ascii="Arial" w:hAnsi="Arial" w:eastAsia="Arial" w:cs="Arial"/>
        </w:rPr>
      </w:pPr>
      <w:r>
        <w:rPr>
          <w:rFonts w:ascii="Arial" w:hAnsi="Arial" w:eastAsia="Arial" w:cs="Arial"/>
          <w:b/>
        </w:rPr>
        <w:t xml:space="preserve">9.10.3. </w:t>
      </w:r>
      <w:r>
        <w:rPr>
          <w:rFonts w:ascii="Arial" w:hAnsi="Arial" w:eastAsia="Arial" w:cs="Arial"/>
        </w:rPr>
        <w:t xml:space="preserve">As regras previstas no (item 9.10) acima mencionado não prejudicarão a aplicação do disposto no art. 44 da Lei Complementar nº 123, de 14 de dezembro de 2006. (Conforme art. 60 da Lei 14.133/21, § 2º). </w:t>
      </w:r>
      <w:r>
        <w:rPr>
          <w:rFonts w:ascii="Arial" w:hAnsi="Arial" w:eastAsia="Arial" w:cs="Arial"/>
        </w:rPr>
      </w:r>
    </w:p>
    <w:p w14:paraId="6ABB7653" w14:textId="77777777">
      <w:pPr>
        <w:pBdr/>
        <w:spacing/>
        <w:ind/>
        <w:jc w:val="both"/>
        <w:rPr>
          <w:rFonts w:ascii="Arial" w:hAnsi="Arial" w:eastAsia="Arial" w:cs="Arial"/>
        </w:rPr>
      </w:pPr>
      <w:r>
        <w:rPr>
          <w:rFonts w:ascii="Arial" w:hAnsi="Arial" w:eastAsia="Arial" w:cs="Arial"/>
          <w:b/>
        </w:rPr>
        <w:t xml:space="preserve">9.11.</w:t>
      </w:r>
      <w:r>
        <w:rPr>
          <w:rFonts w:ascii="Arial" w:hAnsi="Arial" w:eastAsia="Arial" w:cs="Arial"/>
        </w:rPr>
        <w:t xml:space="preserve"> Encerrada a etapa de envio</w:t>
      </w:r>
      <w:r>
        <w:rPr>
          <w:rFonts w:ascii="Arial" w:hAnsi="Arial" w:eastAsia="Arial" w:cs="Arial"/>
        </w:rPr>
        <w:t xml:space="preserve"> de lances da sessão pública, na hipótese da proposta do primeiro colocado permanecer acima do preço máximo ou inferior ao desconto definido para a contratação, o pregoeiro poderá negociar condições mais vantajosas, após definido o resultado do julgamento.</w:t>
      </w:r>
      <w:r>
        <w:rPr>
          <w:rFonts w:ascii="Arial" w:hAnsi="Arial" w:eastAsia="Arial" w:cs="Arial"/>
        </w:rPr>
      </w:r>
    </w:p>
    <w:p w14:paraId="34B74D75"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77234C48" w14:textId="77777777">
      <w:pPr>
        <w:pBdr/>
        <w:spacing/>
        <w:ind/>
        <w:jc w:val="both"/>
        <w:rPr>
          <w:rFonts w:ascii="Arial" w:hAnsi="Arial" w:eastAsia="Arial" w:cs="Arial"/>
        </w:rPr>
      </w:pPr>
      <w:r>
        <w:rPr>
          <w:rFonts w:ascii="Arial" w:hAnsi="Arial" w:eastAsia="Arial" w:cs="Arial"/>
          <w:b/>
        </w:rPr>
        <w:t xml:space="preserve">9.12.</w:t>
      </w:r>
      <w:r>
        <w:rPr>
          <w:rFonts w:ascii="Arial" w:hAnsi="Arial" w:eastAsia="Arial" w:cs="Arial"/>
        </w:rPr>
        <w:t xml:space="preserve"> A negociação poderá</w:t>
      </w:r>
      <w:r>
        <w:rPr>
          <w:rFonts w:ascii="Arial" w:hAnsi="Arial" w:eastAsia="Arial" w:cs="Arial"/>
        </w:rPr>
        <w:t xml:space="preserve"> ser feita com os demais licitantes, segundo a ordem de classificação inicialmente estabelecida, quando o primeiro colocado, mesmo após a negociação, for desclassificado em razão de sua proposta permanecer acima do preço máximo definido pela Administração.</w:t>
      </w:r>
      <w:r>
        <w:rPr>
          <w:rFonts w:ascii="Arial" w:hAnsi="Arial" w:eastAsia="Arial" w:cs="Arial"/>
        </w:rPr>
      </w:r>
    </w:p>
    <w:p w14:paraId="20324AA3" w14:textId="77777777">
      <w:pPr>
        <w:pBdr/>
        <w:spacing/>
        <w:ind/>
        <w:jc w:val="both"/>
        <w:rPr>
          <w:rFonts w:ascii="Arial" w:hAnsi="Arial" w:eastAsia="Arial" w:cs="Arial"/>
          <w:b/>
          <w:color w:val="000000"/>
        </w:rPr>
      </w:pPr>
      <w:r>
        <w:rPr>
          <w:rFonts w:ascii="Arial" w:hAnsi="Arial" w:eastAsia="Arial" w:cs="Arial"/>
          <w:b/>
          <w:color w:val="000000"/>
        </w:rPr>
      </w:r>
      <w:r>
        <w:rPr>
          <w:rFonts w:ascii="Arial" w:hAnsi="Arial" w:eastAsia="Arial" w:cs="Arial"/>
          <w:b/>
          <w:color w:val="000000"/>
        </w:rPr>
      </w:r>
    </w:p>
    <w:p w14:paraId="44661905" w14:textId="77777777">
      <w:pPr>
        <w:pBdr/>
        <w:spacing/>
        <w:ind/>
        <w:jc w:val="both"/>
        <w:rPr>
          <w:rFonts w:ascii="Arial" w:hAnsi="Arial" w:eastAsia="Arial" w:cs="Arial"/>
          <w:color w:val="000000"/>
        </w:rPr>
      </w:pPr>
      <w:r/>
      <w:bookmarkStart w:id="15" w:name="_heading=h.gq4fwu531k2s"/>
      <w:r/>
      <w:bookmarkEnd w:id="15"/>
      <w:r>
        <w:rPr>
          <w:rFonts w:ascii="Arial" w:hAnsi="Arial" w:eastAsia="Arial" w:cs="Arial"/>
          <w:b/>
          <w:color w:val="000000"/>
        </w:rPr>
        <w:t xml:space="preserve">9.13.</w:t>
      </w:r>
      <w:r>
        <w:rPr>
          <w:rFonts w:ascii="Arial" w:hAnsi="Arial" w:eastAsia="Arial" w:cs="Arial"/>
          <w:color w:val="000000"/>
        </w:rPr>
        <w:t xml:space="preserve"> O pregoeiro solicitará ao licitante melhor classificad</w:t>
      </w:r>
      <w:r>
        <w:rPr>
          <w:rFonts w:ascii="Arial" w:hAnsi="Arial" w:eastAsia="Arial" w:cs="Arial"/>
          <w:color w:val="000000"/>
        </w:rPr>
        <w:t xml:space="preserve">o que, no prazo de 2 (duas) horas, envie a proposta adequada ao último lance ofertado após a negociação realizada, acompanhada, se for o caso, dos documentos complementares, quando necessários à confirmação daqueles exigidos neste Edital e já apresentados.</w:t>
      </w:r>
      <w:r>
        <w:rPr>
          <w:rFonts w:ascii="Arial" w:hAnsi="Arial" w:eastAsia="Arial" w:cs="Arial"/>
          <w:color w:val="000000"/>
        </w:rPr>
      </w:r>
    </w:p>
    <w:p w14:paraId="1BDAAB70" w14:textId="77777777">
      <w:pPr>
        <w:pBdr/>
        <w:spacing/>
        <w:ind/>
        <w:jc w:val="both"/>
        <w:rPr>
          <w:rFonts w:ascii="Arial" w:hAnsi="Arial" w:eastAsia="Arial" w:cs="Arial"/>
          <w:b/>
          <w:color w:val="000000"/>
        </w:rPr>
      </w:pPr>
      <w:r>
        <w:rPr>
          <w:rFonts w:ascii="Arial" w:hAnsi="Arial" w:eastAsia="Arial" w:cs="Arial"/>
          <w:b/>
          <w:color w:val="000000"/>
        </w:rPr>
      </w:r>
      <w:r>
        <w:rPr>
          <w:rFonts w:ascii="Arial" w:hAnsi="Arial" w:eastAsia="Arial" w:cs="Arial"/>
          <w:b/>
          <w:color w:val="000000"/>
        </w:rPr>
      </w:r>
    </w:p>
    <w:p w14:paraId="2EEF9A44" w14:textId="77777777">
      <w:pPr>
        <w:pBdr/>
        <w:spacing/>
        <w:ind/>
        <w:jc w:val="both"/>
        <w:rPr>
          <w:rFonts w:ascii="Arial" w:hAnsi="Arial" w:eastAsia="Arial" w:cs="Arial"/>
          <w:color w:val="000000"/>
        </w:rPr>
      </w:pPr>
      <w:r>
        <w:rPr>
          <w:rFonts w:ascii="Arial" w:hAnsi="Arial" w:eastAsia="Arial" w:cs="Arial"/>
          <w:b/>
          <w:color w:val="000000"/>
        </w:rPr>
        <w:t xml:space="preserve">9.14.</w:t>
      </w:r>
      <w:r>
        <w:rPr>
          <w:rFonts w:ascii="Arial" w:hAnsi="Arial" w:eastAsia="Arial" w:cs="Arial"/>
          <w:color w:val="000000"/>
        </w:rPr>
        <w:t xml:space="preserve"> É facultado ao pregoeiro prorrogar o prazo estabelecido, a partir de solicitação fundamentada feita no chat pelo licitante, antes de findo o prazo.</w:t>
      </w:r>
      <w:r>
        <w:rPr>
          <w:rFonts w:ascii="Arial" w:hAnsi="Arial" w:eastAsia="Arial" w:cs="Arial"/>
          <w:color w:val="000000"/>
        </w:rPr>
      </w:r>
    </w:p>
    <w:p w14:paraId="38FDED7B" w14:textId="77777777">
      <w:pPr>
        <w:pBdr/>
        <w:spacing/>
        <w:ind/>
        <w:jc w:val="both"/>
        <w:rPr>
          <w:rFonts w:ascii="Arial" w:hAnsi="Arial" w:eastAsia="Arial" w:cs="Arial"/>
          <w:color w:val="000000"/>
        </w:rPr>
      </w:pPr>
      <w:r>
        <w:rPr>
          <w:rFonts w:ascii="Arial" w:hAnsi="Arial" w:eastAsia="Arial" w:cs="Arial"/>
          <w:color w:val="000000"/>
        </w:rPr>
      </w:r>
      <w:r>
        <w:rPr>
          <w:rFonts w:ascii="Arial" w:hAnsi="Arial" w:eastAsia="Arial" w:cs="Arial"/>
          <w:color w:val="000000"/>
        </w:rPr>
      </w:r>
    </w:p>
    <w:p w14:paraId="008C6C2B" w14:textId="77777777">
      <w:pPr>
        <w:pStyle w:val="882"/>
        <w:pBdr/>
        <w:spacing w:after="0" w:before="0"/>
        <w:ind/>
        <w:rPr>
          <w:sz w:val="20"/>
          <w:szCs w:val="20"/>
          <w:lang w:val="pt-BR"/>
        </w:rPr>
      </w:pPr>
      <w:r/>
      <w:bookmarkStart w:id="16" w:name="_heading=h.ivovtazgbm9n"/>
      <w:r/>
      <w:bookmarkEnd w:id="16"/>
      <w:r>
        <w:rPr>
          <w:sz w:val="20"/>
          <w:szCs w:val="20"/>
          <w:lang w:val="pt-BR"/>
        </w:rPr>
        <w:t xml:space="preserve">10. DO JULGAMENTO DA(S) PROPOSTA(S) DE PREÇOS APÓS A CLASSIFICAÇÃO FINAL: </w:t>
      </w:r>
      <w:r>
        <w:rPr>
          <w:sz w:val="20"/>
          <w:szCs w:val="20"/>
          <w:lang w:val="pt-BR"/>
        </w:rPr>
      </w:r>
    </w:p>
    <w:p w14:paraId="261E50FD" w14:textId="77777777">
      <w:pPr>
        <w:pBdr/>
        <w:spacing/>
        <w:ind/>
        <w:jc w:val="both"/>
        <w:rPr>
          <w:rFonts w:ascii="Arial" w:hAnsi="Arial" w:eastAsia="Arial" w:cs="Arial"/>
          <w:b/>
        </w:rPr>
      </w:pPr>
      <w:r/>
      <w:bookmarkStart w:id="17" w:name="_heading=h.rqs33qol3sg3"/>
      <w:r/>
      <w:bookmarkEnd w:id="17"/>
      <w:r/>
      <w:r>
        <w:rPr>
          <w:rFonts w:ascii="Arial" w:hAnsi="Arial" w:eastAsia="Arial" w:cs="Arial"/>
          <w:b/>
        </w:rPr>
      </w:r>
    </w:p>
    <w:p w14:paraId="7415C98F" w14:textId="77777777">
      <w:pPr>
        <w:pBdr/>
        <w:spacing/>
        <w:ind/>
        <w:jc w:val="both"/>
        <w:rPr>
          <w:rFonts w:ascii="Arial" w:hAnsi="Arial" w:eastAsia="Arial" w:cs="Arial"/>
        </w:rPr>
      </w:pPr>
      <w:r>
        <w:rPr>
          <w:rFonts w:ascii="Arial" w:hAnsi="Arial" w:eastAsia="Arial" w:cs="Arial"/>
          <w:b/>
        </w:rPr>
        <w:t xml:space="preserve">10.1.</w:t>
      </w:r>
      <w:r>
        <w:rPr>
          <w:rFonts w:ascii="Arial" w:hAnsi="Arial" w:eastAsia="Arial" w:cs="Arial"/>
        </w:rPr>
        <w:t xml:space="preserve"> Ap</w:t>
      </w:r>
      <w:r>
        <w:rPr>
          <w:rFonts w:ascii="Arial" w:hAnsi="Arial" w:eastAsia="Arial" w:cs="Arial"/>
        </w:rPr>
        <w:t xml:space="preserve">ós a fase de habilitação, análise dos documentos e deliberação sobre eventuais recursos, será aberta nova sessão pública para abertura das propostas dos licitantes habilitados, iniciando-se a etapa de julgamento conforme o critério de menor preço por lote.</w:t>
      </w:r>
      <w:r>
        <w:rPr>
          <w:rFonts w:ascii="Arial" w:hAnsi="Arial" w:eastAsia="Arial" w:cs="Arial"/>
        </w:rPr>
      </w:r>
    </w:p>
    <w:p w14:paraId="02E25B84" w14:textId="77777777">
      <w:pPr>
        <w:pBdr/>
        <w:spacing/>
        <w:ind/>
        <w:jc w:val="both"/>
        <w:rPr>
          <w:rFonts w:ascii="Arial" w:hAnsi="Arial" w:eastAsia="Arial" w:cs="Arial"/>
          <w:b/>
          <w:color w:val="000000"/>
        </w:rPr>
      </w:pPr>
      <w:r>
        <w:rPr>
          <w:rFonts w:ascii="Arial" w:hAnsi="Arial" w:eastAsia="Arial" w:cs="Arial"/>
          <w:b/>
          <w:color w:val="000000"/>
        </w:rPr>
      </w:r>
      <w:r>
        <w:rPr>
          <w:rFonts w:ascii="Arial" w:hAnsi="Arial" w:eastAsia="Arial" w:cs="Arial"/>
          <w:b/>
          <w:color w:val="000000"/>
        </w:rPr>
      </w:r>
    </w:p>
    <w:p w14:paraId="40DD89AE" w14:textId="77777777">
      <w:pPr>
        <w:pBdr/>
        <w:spacing/>
        <w:ind/>
        <w:jc w:val="both"/>
        <w:rPr>
          <w:rFonts w:ascii="Arial" w:hAnsi="Arial" w:eastAsia="Arial" w:cs="Arial"/>
          <w:color w:val="000000"/>
        </w:rPr>
      </w:pPr>
      <w:r>
        <w:rPr>
          <w:rFonts w:ascii="Arial" w:hAnsi="Arial" w:eastAsia="Arial" w:cs="Arial"/>
          <w:b/>
          <w:color w:val="000000"/>
        </w:rPr>
        <w:t xml:space="preserve">10.1.1. </w:t>
      </w:r>
      <w:r>
        <w:rPr>
          <w:rFonts w:ascii="Arial" w:hAnsi="Arial" w:eastAsia="Arial" w:cs="Arial"/>
          <w:color w:val="000000"/>
        </w:rPr>
        <w:t xml:space="preserve">Casos não se realizem lances serão verificados a conformidade entre a proposta de menor valor e o valor estimado da contratação, podendo o Pregoeiro negociar com o licitante afim de conseguir menor preço. </w:t>
      </w:r>
      <w:r>
        <w:rPr>
          <w:rFonts w:ascii="Arial" w:hAnsi="Arial" w:eastAsia="Arial" w:cs="Arial"/>
          <w:color w:val="000000"/>
        </w:rPr>
      </w:r>
    </w:p>
    <w:p w14:paraId="0DF7B0EF" w14:textId="77777777">
      <w:pPr>
        <w:pBdr/>
        <w:spacing/>
        <w:ind/>
        <w:jc w:val="both"/>
        <w:rPr>
          <w:rFonts w:ascii="Arial" w:hAnsi="Arial" w:eastAsia="Arial" w:cs="Arial"/>
          <w:b/>
        </w:rPr>
      </w:pPr>
      <w:r/>
      <w:bookmarkStart w:id="18" w:name="bookmark=id.mxosohjh4ymb"/>
      <w:r/>
      <w:bookmarkEnd w:id="18"/>
      <w:r/>
      <w:r>
        <w:rPr>
          <w:rFonts w:ascii="Arial" w:hAnsi="Arial" w:eastAsia="Arial" w:cs="Arial"/>
          <w:b/>
        </w:rPr>
      </w:r>
    </w:p>
    <w:p w14:paraId="724B6756" w14:textId="77777777">
      <w:pPr>
        <w:pBdr/>
        <w:spacing/>
        <w:ind/>
        <w:jc w:val="both"/>
        <w:rPr>
          <w:rFonts w:ascii="Arial" w:hAnsi="Arial" w:eastAsia="Arial" w:cs="Arial"/>
          <w:b/>
        </w:rPr>
      </w:pPr>
      <w:r>
        <w:rPr>
          <w:rFonts w:ascii="Arial" w:hAnsi="Arial" w:eastAsia="Arial" w:cs="Arial"/>
          <w:b/>
        </w:rPr>
        <w:t xml:space="preserve">10.2. Da aceitabilidade da proposta melhor classificada, não será aceita a proposta ou melhor lance classificado cujo preço seja acima do valor estimado pela Secretaria solicitante ou quando este for manifestamente inexequível. </w:t>
      </w:r>
      <w:r>
        <w:rPr>
          <w:rFonts w:ascii="Arial" w:hAnsi="Arial" w:eastAsia="Arial" w:cs="Arial"/>
          <w:b/>
        </w:rPr>
      </w:r>
    </w:p>
    <w:p w14:paraId="51C83604"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08CD2753" w14:textId="77777777">
      <w:pPr>
        <w:pBdr/>
        <w:spacing/>
        <w:ind/>
        <w:jc w:val="both"/>
        <w:rPr>
          <w:rFonts w:ascii="Arial" w:hAnsi="Arial" w:eastAsia="Arial" w:cs="Arial"/>
          <w:b/>
        </w:rPr>
      </w:pPr>
      <w:r>
        <w:rPr>
          <w:rFonts w:ascii="Arial" w:hAnsi="Arial" w:eastAsia="Arial" w:cs="Arial"/>
          <w:b/>
        </w:rPr>
        <w:t xml:space="preserve">10.2.1. </w:t>
      </w:r>
      <w:r>
        <w:rPr>
          <w:rFonts w:ascii="Arial" w:hAnsi="Arial" w:eastAsia="Arial" w:cs="Arial"/>
          <w:bCs/>
        </w:rPr>
        <w:t xml:space="preserve">Embora o critério</w:t>
      </w:r>
      <w:r>
        <w:rPr>
          <w:rFonts w:ascii="Arial" w:hAnsi="Arial" w:eastAsia="Arial" w:cs="Arial"/>
          <w:bCs/>
        </w:rPr>
        <w:t xml:space="preserve"> de julgamento da proposta seja pelo menor preço por lote, deve haver a discriminação do valor de cada item que compõem o lote, em conformidade com o valor de referência, ou seja nenhum item que compõe o lote poderá ficar acima do valor estimado. Ademais, </w:t>
      </w:r>
      <w:r>
        <w:rPr>
          <w:rFonts w:ascii="Arial" w:hAnsi="Arial" w:eastAsia="Arial" w:cs="Arial"/>
          <w:b/>
        </w:rPr>
        <w:t xml:space="preserve">o percentual de desconto oferecido para o lote deverá incidir sobre cada um de seus itens.</w:t>
      </w:r>
      <w:r>
        <w:rPr>
          <w:rFonts w:ascii="Arial" w:hAnsi="Arial" w:eastAsia="Arial" w:cs="Arial"/>
          <w:b/>
        </w:rPr>
      </w:r>
    </w:p>
    <w:p w14:paraId="416A55E5"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276E1B9E" w14:textId="77777777">
      <w:pPr>
        <w:pBdr/>
        <w:spacing/>
        <w:ind/>
        <w:jc w:val="both"/>
        <w:rPr>
          <w:rFonts w:ascii="Arial" w:hAnsi="Arial" w:eastAsia="Arial" w:cs="Arial"/>
        </w:rPr>
      </w:pPr>
      <w:r>
        <w:rPr>
          <w:rFonts w:ascii="Arial" w:hAnsi="Arial" w:eastAsia="Arial" w:cs="Arial"/>
          <w:b/>
        </w:rPr>
        <w:t xml:space="preserve">10.2.2. </w:t>
      </w:r>
      <w:r>
        <w:rPr>
          <w:rFonts w:ascii="Arial" w:hAnsi="Arial" w:eastAsia="Arial" w:cs="Arial"/>
        </w:rPr>
        <w:t xml:space="preserve">Considera-se inexequível a proposta de preços ou menor lance que </w:t>
      </w:r>
      <w:r>
        <w:rPr>
          <w:rFonts w:ascii="Arial" w:hAnsi="Arial" w:eastAsia="Arial" w:cs="Arial"/>
        </w:rPr>
        <w:t xml:space="preserve">comprovadamente, for insuficiente para a cobertura dos custos da contratação, apresente preços global ou unitários simbólicos, irrisórios ou de valor zero, incompatíveis com os preços dos insumos e salários de mercado, acrescidos dos respectivos encarg</w:t>
      </w:r>
      <w:r>
        <w:rPr>
          <w:rFonts w:ascii="Arial" w:hAnsi="Arial" w:eastAsia="Arial" w:cs="Arial"/>
        </w:rPr>
        <w:t xml:space="preserve">os, ainda que o ato convocatório da licitação não tenha estabelecido limites mínimos, exceto quando se referirem a materiais e serviços de instalações de propriedade do próprio licitante, para os quais ele renuncie a parcela ou à totalidade da remuneração.</w:t>
      </w:r>
      <w:r>
        <w:rPr>
          <w:rFonts w:ascii="Arial" w:hAnsi="Arial" w:eastAsia="Arial" w:cs="Arial"/>
        </w:rPr>
      </w:r>
    </w:p>
    <w:p w14:paraId="462645AE"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454BF06A" w14:textId="77777777">
      <w:pPr>
        <w:pBdr/>
        <w:spacing/>
        <w:ind/>
        <w:jc w:val="both"/>
        <w:rPr>
          <w:rFonts w:ascii="Arial" w:hAnsi="Arial" w:eastAsia="Arial" w:cs="Arial"/>
          <w:color w:val="000000"/>
        </w:rPr>
      </w:pPr>
      <w:r>
        <w:rPr>
          <w:rFonts w:ascii="Arial" w:hAnsi="Arial" w:eastAsia="Arial" w:cs="Arial"/>
          <w:b/>
          <w:color w:val="000000"/>
        </w:rPr>
        <w:t xml:space="preserve">10.3. </w:t>
      </w:r>
      <w:r>
        <w:rPr>
          <w:rFonts w:ascii="Arial" w:hAnsi="Arial" w:eastAsia="Arial" w:cs="Arial"/>
          <w:color w:val="000000"/>
        </w:rPr>
        <w:t xml:space="preserve">Se houver indícios de inexequibilidade da proposta de preço, ou em caso da necessidade de esclarecimentos complementares, poderão ser efetuadas diligências,</w:t>
      </w:r>
      <w:r>
        <w:rPr>
          <w:rFonts w:ascii="Arial" w:hAnsi="Arial" w:eastAsia="Arial" w:cs="Arial"/>
          <w:color w:val="ff0000"/>
        </w:rPr>
        <w:t xml:space="preserve"> </w:t>
      </w:r>
      <w:r>
        <w:rPr>
          <w:rFonts w:ascii="Arial" w:hAnsi="Arial" w:eastAsia="Arial" w:cs="Arial"/>
          <w:color w:val="000000"/>
        </w:rPr>
        <w:t xml:space="preserve">para aferir a exequibilidade das propostas ou exigir dos licitantes que ela seja demonstrada, conforme disposto no inciso IV do </w:t>
      </w:r>
      <w:r>
        <w:rPr>
          <w:rFonts w:ascii="Arial" w:hAnsi="Arial" w:eastAsia="Arial" w:cs="Arial"/>
          <w:b/>
          <w:color w:val="000000"/>
        </w:rPr>
        <w:t xml:space="preserve">caput</w:t>
      </w:r>
      <w:r>
        <w:rPr>
          <w:rFonts w:ascii="Arial" w:hAnsi="Arial" w:eastAsia="Arial" w:cs="Arial"/>
          <w:color w:val="000000"/>
        </w:rPr>
        <w:t xml:space="preserve"> do artigo 59 da Lei 14.133/2021.</w:t>
      </w:r>
      <w:r>
        <w:rPr>
          <w:rFonts w:ascii="Arial" w:hAnsi="Arial" w:eastAsia="Arial" w:cs="Arial"/>
          <w:color w:val="000000"/>
        </w:rPr>
      </w:r>
    </w:p>
    <w:p w14:paraId="0D52E1EF"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3FB255FB" w14:textId="77777777">
      <w:pPr>
        <w:pBdr/>
        <w:spacing/>
        <w:ind/>
        <w:jc w:val="both"/>
        <w:rPr>
          <w:rFonts w:ascii="Arial" w:hAnsi="Arial" w:eastAsia="Arial" w:cs="Arial"/>
          <w:color w:val="000000"/>
        </w:rPr>
      </w:pPr>
      <w:r>
        <w:rPr>
          <w:rFonts w:ascii="Arial" w:hAnsi="Arial" w:eastAsia="Arial" w:cs="Arial"/>
          <w:b/>
        </w:rPr>
        <w:t xml:space="preserve">10.4. </w:t>
      </w:r>
      <w:r>
        <w:rPr>
          <w:rFonts w:ascii="Arial" w:hAnsi="Arial" w:eastAsia="Arial" w:cs="Arial"/>
        </w:rPr>
        <w:t xml:space="preserve">P</w:t>
      </w:r>
      <w:r>
        <w:rPr>
          <w:rFonts w:ascii="Arial" w:hAnsi="Arial" w:eastAsia="Arial" w:cs="Arial"/>
          <w:color w:val="000000"/>
        </w:rPr>
        <w:t xml:space="preserve">oderá convocar o licitante para enviar planilhas</w:t>
      </w:r>
      <w:r>
        <w:rPr>
          <w:rFonts w:ascii="Arial" w:hAnsi="Arial" w:eastAsia="Arial" w:cs="Arial"/>
          <w:color w:val="000000"/>
        </w:rPr>
        <w:t xml:space="preserve"> de custo readequadas com o valor final por ele ofertado, nesse sentido, todos os dados informados pelo licitante em sua planilha deverão refletir com fidelidade os custos especificados e a margem de lucro pretendida, sob pena de não aceitação da proposta.</w:t>
      </w:r>
      <w:r>
        <w:rPr>
          <w:rFonts w:ascii="Arial" w:hAnsi="Arial" w:eastAsia="Arial" w:cs="Arial"/>
          <w:color w:val="000000"/>
        </w:rPr>
      </w:r>
    </w:p>
    <w:p w14:paraId="379954F4" w14:textId="77777777">
      <w:pPr>
        <w:pBdr/>
        <w:spacing/>
        <w:ind/>
        <w:jc w:val="both"/>
        <w:rPr>
          <w:rFonts w:ascii="Arial" w:hAnsi="Arial" w:eastAsia="Arial" w:cs="Arial"/>
          <w:color w:val="000000"/>
        </w:rPr>
      </w:pPr>
      <w:r>
        <w:rPr>
          <w:rFonts w:ascii="Arial" w:hAnsi="Arial" w:eastAsia="Arial" w:cs="Arial"/>
          <w:color w:val="000000"/>
        </w:rPr>
      </w:r>
      <w:r>
        <w:rPr>
          <w:rFonts w:ascii="Arial" w:hAnsi="Arial" w:eastAsia="Arial" w:cs="Arial"/>
          <w:color w:val="000000"/>
        </w:rPr>
      </w:r>
    </w:p>
    <w:p w14:paraId="105CD528" w14:textId="77777777">
      <w:pPr>
        <w:pBdr/>
        <w:spacing/>
        <w:ind/>
        <w:jc w:val="both"/>
        <w:rPr>
          <w:rFonts w:ascii="Arial" w:hAnsi="Arial" w:eastAsia="Arial" w:cs="Arial"/>
          <w:color w:val="000000"/>
        </w:rPr>
      </w:pPr>
      <w:r>
        <w:rPr>
          <w:rFonts w:ascii="Arial" w:hAnsi="Arial" w:eastAsia="Arial" w:cs="Arial"/>
          <w:b/>
          <w:color w:val="000000"/>
        </w:rPr>
        <w:t xml:space="preserve">10.5.</w:t>
      </w:r>
      <w:r>
        <w:rPr>
          <w:rFonts w:ascii="Arial" w:hAnsi="Arial" w:eastAsia="Arial" w:cs="Arial"/>
          <w:color w:val="000000"/>
        </w:rPr>
        <w:t xml:space="preserve"> O Pregoeiro auxiliado pela equipe técnica analisará a compatibilidade dos preços unitários apresentados na Planilha de Custos e Formação de Preços com aqueles descritos no termo de referência.</w:t>
      </w:r>
      <w:r>
        <w:rPr>
          <w:rFonts w:ascii="Arial" w:hAnsi="Arial" w:eastAsia="Arial" w:cs="Arial"/>
          <w:color w:val="000000"/>
        </w:rPr>
      </w:r>
    </w:p>
    <w:p w14:paraId="546A2211" w14:textId="77777777">
      <w:pPr>
        <w:pBdr/>
        <w:spacing/>
        <w:ind/>
        <w:jc w:val="both"/>
        <w:rPr>
          <w:rFonts w:ascii="Arial" w:hAnsi="Arial" w:eastAsia="Arial" w:cs="Arial"/>
          <w:color w:val="000000"/>
        </w:rPr>
      </w:pPr>
      <w:r>
        <w:rPr>
          <w:rFonts w:ascii="Arial" w:hAnsi="Arial" w:eastAsia="Arial" w:cs="Arial"/>
          <w:color w:val="000000"/>
        </w:rPr>
      </w:r>
      <w:r>
        <w:rPr>
          <w:rFonts w:ascii="Arial" w:hAnsi="Arial" w:eastAsia="Arial" w:cs="Arial"/>
          <w:color w:val="000000"/>
        </w:rPr>
      </w:r>
    </w:p>
    <w:p w14:paraId="06A9CB68" w14:textId="77777777">
      <w:pPr>
        <w:pBdr/>
        <w:spacing/>
        <w:ind/>
        <w:jc w:val="both"/>
        <w:rPr>
          <w:rFonts w:ascii="Arial" w:hAnsi="Arial" w:eastAsia="Arial" w:cs="Arial"/>
          <w:color w:val="000000"/>
        </w:rPr>
      </w:pPr>
      <w:r>
        <w:rPr>
          <w:rFonts w:ascii="Arial" w:hAnsi="Arial" w:eastAsia="Arial" w:cs="Arial"/>
          <w:b/>
          <w:color w:val="000000"/>
        </w:rPr>
        <w:t xml:space="preserve">10.6.</w:t>
      </w:r>
      <w:r>
        <w:rPr>
          <w:rFonts w:ascii="Arial" w:hAnsi="Arial" w:eastAsia="Arial" w:cs="Arial"/>
          <w:color w:val="000000"/>
        </w:rPr>
        <w:t xml:space="preserve"> </w:t>
      </w:r>
      <w:r>
        <w:rPr>
          <w:rFonts w:ascii="Arial" w:hAnsi="Arial" w:eastAsia="Arial" w:cs="Arial"/>
          <w:b/>
          <w:color w:val="000000"/>
        </w:rPr>
        <w:t xml:space="preserve">Se a oferta da primeira classificada</w:t>
      </w:r>
      <w:r>
        <w:rPr>
          <w:rFonts w:ascii="Arial" w:hAnsi="Arial" w:eastAsia="Arial" w:cs="Arial"/>
          <w:color w:val="000000"/>
        </w:rPr>
        <w:t xml:space="preserve"> não for aceitável ou se a licitante desatender às exigências habilitatórias, será examinado a oferta subsequente, verifican</w:t>
      </w:r>
      <w:r>
        <w:rPr>
          <w:rFonts w:ascii="Arial" w:hAnsi="Arial" w:eastAsia="Arial" w:cs="Arial"/>
          <w:color w:val="000000"/>
        </w:rPr>
        <w:t xml:space="preserve">do a sua aceitabilidade e procedendo à habilitação do licitante, na ordem de classificação, e assim sucessivamente, até a apuração de uma proposta que atenda ao edital, sendo o respectivo licitante declarado vencedor e a ele adjudicado o objeto do certame.</w:t>
      </w:r>
      <w:r>
        <w:rPr>
          <w:rFonts w:ascii="Arial" w:hAnsi="Arial" w:eastAsia="Arial" w:cs="Arial"/>
          <w:color w:val="000000"/>
        </w:rPr>
      </w:r>
    </w:p>
    <w:p w14:paraId="3AED1778" w14:textId="77777777">
      <w:pPr>
        <w:pBdr/>
        <w:spacing/>
        <w:ind/>
        <w:jc w:val="both"/>
        <w:rPr>
          <w:rFonts w:ascii="Arial" w:hAnsi="Arial" w:eastAsia="Arial" w:cs="Arial"/>
          <w:color w:val="000000"/>
        </w:rPr>
      </w:pPr>
      <w:r>
        <w:rPr>
          <w:rFonts w:ascii="Arial" w:hAnsi="Arial" w:eastAsia="Arial" w:cs="Arial"/>
          <w:color w:val="000000"/>
        </w:rPr>
      </w:r>
      <w:r>
        <w:rPr>
          <w:rFonts w:ascii="Arial" w:hAnsi="Arial" w:eastAsia="Arial" w:cs="Arial"/>
          <w:color w:val="000000"/>
        </w:rPr>
      </w:r>
    </w:p>
    <w:p w14:paraId="34AA2365" w14:textId="77777777">
      <w:pPr>
        <w:pStyle w:val="882"/>
        <w:pBdr/>
        <w:spacing w:after="0" w:before="0"/>
        <w:ind/>
        <w:rPr>
          <w:sz w:val="20"/>
          <w:szCs w:val="20"/>
          <w:lang w:val="pt-BR"/>
        </w:rPr>
      </w:pPr>
      <w:r/>
      <w:bookmarkStart w:id="19" w:name="_heading=h.fjs4sgwp4bwu"/>
      <w:r/>
      <w:bookmarkEnd w:id="19"/>
      <w:r>
        <w:rPr>
          <w:sz w:val="20"/>
          <w:szCs w:val="20"/>
          <w:lang w:val="pt-BR"/>
        </w:rPr>
        <w:t xml:space="preserve">11. DO ENVIO DAS PROPOSTAS REALINHADAS APÓS CONHECIDA A EMPRESA VENCEDORA:</w:t>
      </w:r>
      <w:r>
        <w:rPr>
          <w:sz w:val="20"/>
          <w:szCs w:val="20"/>
          <w:lang w:val="pt-BR"/>
        </w:rPr>
      </w:r>
    </w:p>
    <w:p w14:paraId="7E1CBA7F" w14:textId="77777777">
      <w:pPr>
        <w:pBdr/>
        <w:spacing/>
        <w:ind/>
        <w:rPr/>
      </w:pPr>
      <w:r/>
      <w:r/>
    </w:p>
    <w:p w14:paraId="2F2B8E0D" w14:textId="77777777">
      <w:pPr>
        <w:pBdr/>
        <w:spacing/>
        <w:ind/>
        <w:jc w:val="both"/>
        <w:rPr>
          <w:rFonts w:ascii="Arial" w:hAnsi="Arial" w:eastAsia="Arial" w:cs="Arial"/>
        </w:rPr>
      </w:pPr>
      <w:r>
        <w:rPr>
          <w:rFonts w:ascii="Arial" w:hAnsi="Arial" w:eastAsia="Arial" w:cs="Arial"/>
          <w:b/>
          <w:color w:val="000000"/>
        </w:rPr>
        <w:t xml:space="preserve">11.1.</w:t>
      </w:r>
      <w:r>
        <w:rPr>
          <w:rFonts w:ascii="Arial" w:hAnsi="Arial" w:eastAsia="Arial" w:cs="Arial"/>
          <w:color w:val="000000"/>
        </w:rPr>
        <w:t xml:space="preserve"> Após a realização da sessão pública a licitante vencedora da etapa de lances e habilitada na fase de documentos no prazo máximo de </w:t>
      </w:r>
      <w:r>
        <w:rPr>
          <w:rFonts w:ascii="Arial" w:hAnsi="Arial" w:eastAsia="Arial" w:cs="Arial"/>
          <w:color w:val="000000"/>
          <w:u w:val="single"/>
        </w:rPr>
        <w:t xml:space="preserve">02 (duas) horas</w:t>
      </w:r>
      <w:r>
        <w:rPr>
          <w:rFonts w:ascii="Arial" w:hAnsi="Arial" w:eastAsia="Arial" w:cs="Arial"/>
          <w:color w:val="000000"/>
        </w:rPr>
        <w:t xml:space="preserve">, contados do encerramento da </w:t>
      </w:r>
      <w:r>
        <w:rPr>
          <w:rFonts w:ascii="Arial" w:hAnsi="Arial" w:eastAsia="Arial" w:cs="Arial"/>
          <w:b/>
          <w:color w:val="000000"/>
        </w:rPr>
        <w:t xml:space="preserve">sessão</w:t>
      </w:r>
      <w:r>
        <w:rPr>
          <w:rFonts w:ascii="Arial" w:hAnsi="Arial" w:eastAsia="Arial" w:cs="Arial"/>
          <w:color w:val="000000"/>
        </w:rPr>
        <w:t xml:space="preserve">, deverá cadastrar a </w:t>
      </w:r>
      <w:r>
        <w:rPr>
          <w:rFonts w:ascii="Arial" w:hAnsi="Arial" w:eastAsia="Arial" w:cs="Arial"/>
          <w:b/>
          <w:color w:val="000000"/>
        </w:rPr>
        <w:t xml:space="preserve">Proposta de Preços Realinhada na plataforma BLL, </w:t>
      </w:r>
      <w:r>
        <w:rPr>
          <w:rFonts w:ascii="Arial" w:hAnsi="Arial" w:eastAsia="Arial" w:cs="Arial"/>
          <w:color w:val="000000"/>
        </w:rPr>
        <w:t xml:space="preserve">bem como, encaminha-la </w:t>
      </w:r>
      <w:r>
        <w:rPr>
          <w:rFonts w:ascii="Arial" w:hAnsi="Arial" w:eastAsia="Arial" w:cs="Arial"/>
        </w:rPr>
        <w:t xml:space="preserve">devidamente datadas e assinadas na última folha e rubricadas nas demais pelo representante legal da empresa. (</w:t>
      </w:r>
      <w:r>
        <w:rPr>
          <w:rFonts w:ascii="Arial" w:hAnsi="Arial" w:eastAsia="Arial" w:cs="Arial"/>
          <w:b/>
        </w:rPr>
        <w:t xml:space="preserve">Endereço eletrônico e-mail: </w:t>
      </w:r>
      <w:hyperlink r:id="rId20" w:tooltip="mailto:pmrroo@hotmail.com" w:history="1">
        <w:r>
          <w:rPr>
            <w:rFonts w:ascii="Arial" w:hAnsi="Arial" w:eastAsia="Arial" w:cs="Arial"/>
            <w:b/>
            <w:color w:val="0000ff"/>
            <w:u w:val="single"/>
          </w:rPr>
          <w:t xml:space="preserve">pmrroo@hotmail.com</w:t>
        </w:r>
      </w:hyperlink>
      <w:r>
        <w:rPr>
          <w:rFonts w:ascii="Arial" w:hAnsi="Arial" w:eastAsia="Arial" w:cs="Arial"/>
        </w:rPr>
        <w:t xml:space="preserve">).</w:t>
      </w:r>
      <w:r>
        <w:rPr>
          <w:rFonts w:ascii="Arial" w:hAnsi="Arial" w:eastAsia="Arial" w:cs="Arial"/>
        </w:rPr>
      </w:r>
    </w:p>
    <w:p w14:paraId="34F56290" w14:textId="77777777">
      <w:pPr>
        <w:pBdr/>
        <w:spacing/>
        <w:ind/>
        <w:jc w:val="both"/>
        <w:rPr>
          <w:rFonts w:ascii="Arial" w:hAnsi="Arial" w:eastAsia="Arial" w:cs="Arial"/>
          <w:b/>
          <w:color w:val="000000"/>
        </w:rPr>
      </w:pPr>
      <w:r>
        <w:rPr>
          <w:rFonts w:ascii="Arial" w:hAnsi="Arial" w:eastAsia="Arial" w:cs="Arial"/>
          <w:b/>
          <w:color w:val="000000"/>
        </w:rPr>
      </w:r>
      <w:r>
        <w:rPr>
          <w:rFonts w:ascii="Arial" w:hAnsi="Arial" w:eastAsia="Arial" w:cs="Arial"/>
          <w:b/>
          <w:color w:val="000000"/>
        </w:rPr>
      </w:r>
    </w:p>
    <w:p w14:paraId="44D2FFFC" w14:textId="77777777">
      <w:pPr>
        <w:pBdr/>
        <w:spacing/>
        <w:ind/>
        <w:jc w:val="both"/>
        <w:rPr>
          <w:rFonts w:ascii="Arial" w:hAnsi="Arial" w:eastAsia="Arial" w:cs="Arial"/>
          <w:color w:val="000000"/>
        </w:rPr>
      </w:pPr>
      <w:r>
        <w:rPr>
          <w:rFonts w:ascii="Arial" w:hAnsi="Arial" w:eastAsia="Arial" w:cs="Arial"/>
          <w:b/>
          <w:color w:val="000000"/>
        </w:rPr>
        <w:t xml:space="preserve">11.1.1.</w:t>
      </w:r>
      <w:r>
        <w:rPr>
          <w:rFonts w:ascii="Arial" w:hAnsi="Arial" w:eastAsia="Arial" w:cs="Arial"/>
          <w:color w:val="000000"/>
        </w:rPr>
        <w:t xml:space="preserve"> Caso o licitante venha a ser classificado em razão da desclassificação do(s) primeiro(s) colocado(s), este também terá </w:t>
      </w:r>
      <w:r>
        <w:rPr>
          <w:rFonts w:ascii="Arial" w:hAnsi="Arial" w:eastAsia="Arial" w:cs="Arial"/>
          <w:color w:val="000000"/>
          <w:u w:val="single"/>
        </w:rPr>
        <w:t xml:space="preserve">02 (duas) horas</w:t>
      </w:r>
      <w:r>
        <w:rPr>
          <w:rFonts w:ascii="Arial" w:hAnsi="Arial" w:eastAsia="Arial" w:cs="Arial"/>
          <w:color w:val="000000"/>
        </w:rPr>
        <w:t xml:space="preserve"> a partir da data da comunicação de sua classificação para efetuar a recomposição de preços. </w:t>
      </w:r>
      <w:r>
        <w:rPr>
          <w:rFonts w:ascii="Arial" w:hAnsi="Arial" w:eastAsia="Arial" w:cs="Arial"/>
          <w:color w:val="000000"/>
        </w:rPr>
      </w:r>
    </w:p>
    <w:p w14:paraId="6DB33FEF" w14:textId="77777777">
      <w:pPr>
        <w:pBdr/>
        <w:spacing/>
        <w:ind/>
        <w:jc w:val="both"/>
        <w:rPr>
          <w:rFonts w:ascii="Arial" w:hAnsi="Arial" w:eastAsia="Arial" w:cs="Arial"/>
          <w:b/>
          <w:color w:val="000000"/>
        </w:rPr>
      </w:pPr>
      <w:r>
        <w:rPr>
          <w:rFonts w:ascii="Arial" w:hAnsi="Arial" w:eastAsia="Arial" w:cs="Arial"/>
          <w:b/>
          <w:color w:val="000000"/>
        </w:rPr>
      </w:r>
      <w:r>
        <w:rPr>
          <w:rFonts w:ascii="Arial" w:hAnsi="Arial" w:eastAsia="Arial" w:cs="Arial"/>
          <w:b/>
          <w:color w:val="000000"/>
        </w:rPr>
      </w:r>
    </w:p>
    <w:p w14:paraId="10A8A86A" w14:textId="77777777">
      <w:pPr>
        <w:pBdr/>
        <w:spacing/>
        <w:ind/>
        <w:jc w:val="both"/>
        <w:rPr>
          <w:rFonts w:ascii="Arial" w:hAnsi="Arial" w:eastAsia="Arial" w:cs="Arial"/>
          <w:color w:val="000000"/>
        </w:rPr>
      </w:pPr>
      <w:r>
        <w:rPr>
          <w:rFonts w:ascii="Arial" w:hAnsi="Arial" w:eastAsia="Arial" w:cs="Arial"/>
          <w:b/>
          <w:color w:val="000000"/>
        </w:rPr>
        <w:t xml:space="preserve">11.2.</w:t>
      </w:r>
      <w:r>
        <w:rPr>
          <w:rFonts w:ascii="Arial" w:hAnsi="Arial" w:eastAsia="Arial" w:cs="Arial"/>
          <w:color w:val="000000"/>
        </w:rPr>
        <w:t xml:space="preserve"> A proposta de preços realinhada deverá ser redigida com clareza em língua portuguesa, salvo quanto a expressões técnicas de uso corrente, sem alternativas, emendas, rasuras ou entrelinhas.</w:t>
      </w:r>
      <w:r>
        <w:rPr>
          <w:rFonts w:ascii="Arial" w:hAnsi="Arial" w:eastAsia="Arial" w:cs="Arial"/>
          <w:color w:val="000000"/>
        </w:rPr>
      </w:r>
    </w:p>
    <w:p w14:paraId="3151B643" w14:textId="77777777">
      <w:pPr>
        <w:pBdr/>
        <w:spacing/>
        <w:ind/>
        <w:jc w:val="both"/>
        <w:rPr>
          <w:rFonts w:ascii="Arial" w:hAnsi="Arial" w:eastAsia="Arial" w:cs="Arial"/>
          <w:color w:val="000000"/>
        </w:rPr>
      </w:pPr>
      <w:r>
        <w:rPr>
          <w:rFonts w:ascii="Arial" w:hAnsi="Arial" w:eastAsia="Arial" w:cs="Arial"/>
          <w:color w:val="000000"/>
        </w:rPr>
      </w:r>
      <w:r>
        <w:rPr>
          <w:rFonts w:ascii="Arial" w:hAnsi="Arial" w:eastAsia="Arial" w:cs="Arial"/>
          <w:color w:val="000000"/>
        </w:rPr>
      </w:r>
    </w:p>
    <w:p w14:paraId="26C9F452" w14:textId="77777777">
      <w:pPr>
        <w:pBdr/>
        <w:spacing/>
        <w:ind/>
        <w:jc w:val="both"/>
        <w:rPr>
          <w:rFonts w:ascii="Arial" w:hAnsi="Arial" w:eastAsia="Arial" w:cs="Arial"/>
          <w:color w:val="000000"/>
          <w:u w:val="single"/>
        </w:rPr>
      </w:pPr>
      <w:r>
        <w:rPr>
          <w:rFonts w:ascii="Arial" w:hAnsi="Arial" w:eastAsia="Arial" w:cs="Arial"/>
          <w:b/>
          <w:color w:val="000000"/>
          <w:u w:val="single"/>
        </w:rPr>
        <w:t xml:space="preserve">11.3.</w:t>
      </w:r>
      <w:r>
        <w:rPr>
          <w:rFonts w:ascii="Arial" w:hAnsi="Arial" w:eastAsia="Arial" w:cs="Arial"/>
          <w:color w:val="000000"/>
          <w:u w:val="single"/>
        </w:rPr>
        <w:t xml:space="preserve"> Embora o critério de julgamento da proposta seja pelo menor preço por lote, deve haver a discriminação do valor de cada item que o compõe, em conformidade com o valor de referência, de forma que nenhum item fique com valor acima do valor estimado.</w:t>
      </w:r>
      <w:r>
        <w:rPr>
          <w:rFonts w:ascii="Arial" w:hAnsi="Arial" w:eastAsia="Arial" w:cs="Arial"/>
          <w:color w:val="000000"/>
          <w:u w:val="single"/>
        </w:rPr>
      </w:r>
    </w:p>
    <w:p w14:paraId="2CAEA84F" w14:textId="77777777">
      <w:pPr>
        <w:pBdr/>
        <w:spacing/>
        <w:ind/>
        <w:jc w:val="both"/>
        <w:rPr>
          <w:rFonts w:ascii="Arial" w:hAnsi="Arial" w:eastAsia="Arial" w:cs="Arial"/>
          <w:b/>
          <w:color w:val="000000"/>
        </w:rPr>
      </w:pPr>
      <w:r>
        <w:rPr>
          <w:rFonts w:ascii="Arial" w:hAnsi="Arial" w:eastAsia="Arial" w:cs="Arial"/>
          <w:b/>
          <w:color w:val="000000"/>
        </w:rPr>
        <w:t xml:space="preserve"> </w:t>
      </w:r>
      <w:r>
        <w:rPr>
          <w:rFonts w:ascii="Arial" w:hAnsi="Arial" w:eastAsia="Arial" w:cs="Arial"/>
          <w:b/>
          <w:color w:val="000000"/>
        </w:rPr>
      </w:r>
    </w:p>
    <w:p w14:paraId="437BB338" w14:textId="77777777">
      <w:pPr>
        <w:pBdr/>
        <w:spacing/>
        <w:ind/>
        <w:jc w:val="both"/>
        <w:rPr>
          <w:rFonts w:ascii="Arial" w:hAnsi="Arial" w:eastAsia="Arial" w:cs="Arial"/>
          <w:color w:val="000000"/>
        </w:rPr>
      </w:pPr>
      <w:r>
        <w:rPr>
          <w:rFonts w:ascii="Arial" w:hAnsi="Arial" w:eastAsia="Arial" w:cs="Arial"/>
          <w:b/>
          <w:color w:val="000000"/>
        </w:rPr>
        <w:t xml:space="preserve">11.4.</w:t>
      </w:r>
      <w:r>
        <w:rPr>
          <w:rFonts w:ascii="Arial" w:hAnsi="Arial" w:eastAsia="Arial" w:cs="Arial"/>
          <w:color w:val="000000"/>
        </w:rPr>
        <w:t xml:space="preserve"> Não serão aceitas propostas com valores unitários e totais com mais de duas casas decimais. Caso ocorra o valor deverá ser arredondado para menor.</w:t>
      </w:r>
      <w:r>
        <w:rPr>
          <w:rFonts w:ascii="Arial" w:hAnsi="Arial" w:eastAsia="Arial" w:cs="Arial"/>
          <w:color w:val="000000"/>
        </w:rPr>
      </w:r>
    </w:p>
    <w:p w14:paraId="7B9740FC" w14:textId="77777777">
      <w:pPr>
        <w:pBdr/>
        <w:spacing/>
        <w:ind/>
        <w:jc w:val="both"/>
        <w:rPr>
          <w:rFonts w:ascii="Arial" w:hAnsi="Arial" w:eastAsia="Arial" w:cs="Arial"/>
          <w:color w:val="000000"/>
        </w:rPr>
      </w:pPr>
      <w:r>
        <w:rPr>
          <w:rFonts w:ascii="Arial" w:hAnsi="Arial" w:eastAsia="Arial" w:cs="Arial"/>
          <w:color w:val="000000"/>
        </w:rPr>
      </w:r>
      <w:r>
        <w:rPr>
          <w:rFonts w:ascii="Arial" w:hAnsi="Arial" w:eastAsia="Arial" w:cs="Arial"/>
          <w:color w:val="000000"/>
        </w:rPr>
      </w:r>
    </w:p>
    <w:p w14:paraId="74A4F4FC" w14:textId="77777777">
      <w:pPr>
        <w:pStyle w:val="882"/>
        <w:pBdr/>
        <w:spacing w:after="0" w:before="0"/>
        <w:ind/>
        <w:rPr>
          <w:sz w:val="20"/>
          <w:szCs w:val="20"/>
          <w:lang w:val="pt-BR"/>
        </w:rPr>
      </w:pPr>
      <w:r/>
      <w:bookmarkStart w:id="20" w:name="_heading=h.5h59il8scxof"/>
      <w:r/>
      <w:bookmarkEnd w:id="20"/>
      <w:r>
        <w:rPr>
          <w:sz w:val="20"/>
          <w:szCs w:val="20"/>
          <w:lang w:val="pt-BR"/>
        </w:rPr>
        <w:t xml:space="preserve">12. DA PARTICIPAÇÃO DE MICROEMPRESA E EMPRESA DE PEQUENO PORTE:</w:t>
      </w:r>
      <w:r>
        <w:rPr>
          <w:sz w:val="20"/>
          <w:szCs w:val="20"/>
          <w:lang w:val="pt-BR"/>
        </w:rPr>
      </w:r>
    </w:p>
    <w:p w14:paraId="7757680C" w14:textId="77777777">
      <w:pPr>
        <w:pBdr/>
        <w:spacing/>
        <w:ind/>
        <w:jc w:val="both"/>
        <w:rPr>
          <w:rFonts w:ascii="Arial" w:hAnsi="Arial" w:eastAsia="Arial" w:cs="Arial"/>
          <w:b/>
          <w:color w:val="000000"/>
        </w:rPr>
      </w:pPr>
      <w:r>
        <w:rPr>
          <w:rFonts w:ascii="Arial" w:hAnsi="Arial" w:eastAsia="Arial" w:cs="Arial"/>
          <w:b/>
          <w:color w:val="000000"/>
        </w:rPr>
      </w:r>
      <w:r>
        <w:rPr>
          <w:rFonts w:ascii="Arial" w:hAnsi="Arial" w:eastAsia="Arial" w:cs="Arial"/>
          <w:b/>
          <w:color w:val="000000"/>
        </w:rPr>
      </w:r>
    </w:p>
    <w:p w14:paraId="6F3F81FA" w14:textId="77777777">
      <w:pPr>
        <w:pBdr/>
        <w:spacing/>
        <w:ind/>
        <w:jc w:val="both"/>
        <w:rPr>
          <w:rFonts w:ascii="Arial" w:hAnsi="Arial" w:eastAsia="Arial" w:cs="Arial"/>
          <w:color w:val="000000"/>
        </w:rPr>
      </w:pPr>
      <w:r>
        <w:rPr>
          <w:rFonts w:ascii="Arial" w:hAnsi="Arial" w:eastAsia="Arial" w:cs="Arial"/>
          <w:b/>
          <w:color w:val="000000"/>
        </w:rPr>
        <w:t xml:space="preserve">12.1. </w:t>
      </w:r>
      <w:r>
        <w:rPr>
          <w:rFonts w:ascii="Arial" w:hAnsi="Arial" w:eastAsia="Arial" w:cs="Arial"/>
          <w:color w:val="000000"/>
        </w:rPr>
        <w:t xml:space="preserve">Não se aplicam os benefícios relativos ao tratamento diferenciado e favorecido em conformidade com o art. 48, inciso I e III da L.C. 123/2006. Tendo em vista a natureza do objeto a ser licitado não será aplicada o sistema de cota exclusiva.</w:t>
      </w:r>
      <w:r>
        <w:rPr>
          <w:rFonts w:ascii="Arial" w:hAnsi="Arial" w:eastAsia="Arial" w:cs="Arial"/>
          <w:color w:val="000000"/>
        </w:rPr>
      </w:r>
    </w:p>
    <w:p w14:paraId="726A4A21" w14:textId="77777777">
      <w:pPr>
        <w:pBdr/>
        <w:spacing/>
        <w:ind/>
        <w:jc w:val="both"/>
        <w:rPr>
          <w:rFonts w:ascii="Arial" w:hAnsi="Arial" w:eastAsia="Arial" w:cs="Arial"/>
          <w:b/>
          <w:color w:val="000000"/>
        </w:rPr>
      </w:pPr>
      <w:r>
        <w:rPr>
          <w:rFonts w:ascii="Arial" w:hAnsi="Arial" w:eastAsia="Arial" w:cs="Arial"/>
          <w:b/>
          <w:color w:val="000000"/>
        </w:rPr>
      </w:r>
      <w:r>
        <w:rPr>
          <w:rFonts w:ascii="Arial" w:hAnsi="Arial" w:eastAsia="Arial" w:cs="Arial"/>
          <w:b/>
          <w:color w:val="000000"/>
        </w:rPr>
      </w:r>
    </w:p>
    <w:p w14:paraId="72AACCFF" w14:textId="77777777">
      <w:pPr>
        <w:pBdr/>
        <w:spacing/>
        <w:ind/>
        <w:jc w:val="both"/>
        <w:rPr>
          <w:rFonts w:ascii="Arial" w:hAnsi="Arial" w:eastAsia="Arial" w:cs="Arial"/>
          <w:color w:val="000000"/>
        </w:rPr>
      </w:pPr>
      <w:r>
        <w:rPr>
          <w:rFonts w:ascii="Arial" w:hAnsi="Arial" w:eastAsia="Arial" w:cs="Arial"/>
          <w:b/>
          <w:color w:val="000000"/>
        </w:rPr>
        <w:t xml:space="preserve">12.2. </w:t>
      </w:r>
      <w:r>
        <w:rPr>
          <w:rFonts w:ascii="Arial" w:hAnsi="Arial" w:eastAsia="Arial" w:cs="Arial"/>
          <w:color w:val="000000"/>
        </w:rPr>
        <w:t xml:space="preserve">Portanto, o lote será para participação ampla, será assegurado, como critério de desempate, preferência de contratação para as microempresas e empresas de pequeno porte (MPEs), obedecendo-se o procedimento de julgamento das propostas descrito neste edital.</w:t>
      </w:r>
      <w:r>
        <w:rPr>
          <w:rFonts w:ascii="Arial" w:hAnsi="Arial" w:eastAsia="Arial" w:cs="Arial"/>
          <w:color w:val="000000"/>
        </w:rPr>
      </w:r>
    </w:p>
    <w:p w14:paraId="1D8739F7" w14:textId="77777777">
      <w:pPr>
        <w:pBdr/>
        <w:spacing/>
        <w:ind/>
        <w:jc w:val="both"/>
        <w:rPr>
          <w:rFonts w:ascii="Arial" w:hAnsi="Arial" w:eastAsia="Arial" w:cs="Arial"/>
          <w:b/>
          <w:color w:val="000000"/>
        </w:rPr>
      </w:pPr>
      <w:r>
        <w:rPr>
          <w:rFonts w:ascii="Arial" w:hAnsi="Arial" w:eastAsia="Arial" w:cs="Arial"/>
          <w:b/>
          <w:color w:val="000000"/>
        </w:rPr>
      </w:r>
      <w:r>
        <w:rPr>
          <w:rFonts w:ascii="Arial" w:hAnsi="Arial" w:eastAsia="Arial" w:cs="Arial"/>
          <w:b/>
          <w:color w:val="000000"/>
        </w:rPr>
      </w:r>
    </w:p>
    <w:p w14:paraId="67C77EC9" w14:textId="77777777">
      <w:pPr>
        <w:pBdr/>
        <w:spacing/>
        <w:ind/>
        <w:jc w:val="both"/>
        <w:rPr>
          <w:rFonts w:ascii="Arial" w:hAnsi="Arial" w:eastAsia="Arial" w:cs="Arial"/>
          <w:color w:val="000000"/>
        </w:rPr>
      </w:pPr>
      <w:r>
        <w:rPr>
          <w:rFonts w:ascii="Arial" w:hAnsi="Arial" w:eastAsia="Arial" w:cs="Arial"/>
          <w:b/>
          <w:color w:val="000000"/>
        </w:rPr>
        <w:t xml:space="preserve">12.3.</w:t>
      </w:r>
      <w:r>
        <w:rPr>
          <w:rFonts w:ascii="Arial" w:hAnsi="Arial" w:eastAsia="Arial" w:cs="Arial"/>
          <w:color w:val="000000"/>
        </w:rPr>
        <w:t xml:space="preserve"> </w:t>
      </w:r>
      <w:r>
        <w:rPr>
          <w:rFonts w:ascii="Arial" w:hAnsi="Arial" w:eastAsia="Arial" w:cs="Arial"/>
          <w:b/>
          <w:color w:val="000000"/>
        </w:rPr>
        <w:t xml:space="preserve">Conforme</w:t>
      </w:r>
      <w:r>
        <w:rPr>
          <w:rFonts w:ascii="Arial" w:hAnsi="Arial" w:eastAsia="Arial" w:cs="Arial"/>
          <w:color w:val="000000"/>
        </w:rPr>
        <w:t xml:space="preserve"> artigo 43, § 1º, da Lei Complementar 123/2006, lhe será assegurado o prazo legal para regularização da documentação fiscal que apresente restrições no momento da sessão pública.</w:t>
      </w:r>
      <w:r>
        <w:rPr>
          <w:rFonts w:ascii="Arial" w:hAnsi="Arial" w:eastAsia="Arial" w:cs="Arial"/>
          <w:color w:val="000000"/>
        </w:rPr>
      </w:r>
    </w:p>
    <w:p w14:paraId="6B57DEDA" w14:textId="77777777">
      <w:pPr>
        <w:pBdr/>
        <w:spacing/>
        <w:ind/>
        <w:jc w:val="both"/>
        <w:rPr>
          <w:rFonts w:ascii="Arial" w:hAnsi="Arial" w:eastAsia="Arial" w:cs="Arial"/>
          <w:b/>
          <w:color w:val="000000"/>
        </w:rPr>
      </w:pPr>
      <w:r>
        <w:rPr>
          <w:rFonts w:ascii="Arial" w:hAnsi="Arial" w:eastAsia="Arial" w:cs="Arial"/>
          <w:b/>
          <w:color w:val="000000"/>
        </w:rPr>
      </w:r>
      <w:r>
        <w:rPr>
          <w:rFonts w:ascii="Arial" w:hAnsi="Arial" w:eastAsia="Arial" w:cs="Arial"/>
          <w:b/>
          <w:color w:val="000000"/>
        </w:rPr>
      </w:r>
    </w:p>
    <w:p w14:paraId="250D3860" w14:textId="77777777">
      <w:pPr>
        <w:pBdr/>
        <w:spacing/>
        <w:ind/>
        <w:jc w:val="both"/>
        <w:rPr>
          <w:rFonts w:ascii="Arial" w:hAnsi="Arial" w:eastAsia="Arial" w:cs="Arial"/>
          <w:color w:val="000000"/>
        </w:rPr>
      </w:pPr>
      <w:r>
        <w:rPr>
          <w:rFonts w:ascii="Arial" w:hAnsi="Arial" w:eastAsia="Arial" w:cs="Arial"/>
          <w:b/>
          <w:color w:val="000000"/>
        </w:rPr>
        <w:t xml:space="preserve">12.4. Aplica</w:t>
      </w:r>
      <w:r>
        <w:rPr>
          <w:rFonts w:ascii="Arial" w:hAnsi="Arial" w:eastAsia="Arial" w:cs="Arial"/>
          <w:color w:val="000000"/>
        </w:rPr>
        <w:t xml:space="preserve">-se às cooperativas os benefícios da LC 123/2006 com base no artigo 34 da lei 11.488/2007.</w:t>
      </w:r>
      <w:r>
        <w:rPr>
          <w:rFonts w:ascii="Arial" w:hAnsi="Arial" w:eastAsia="Arial" w:cs="Arial"/>
          <w:color w:val="000000"/>
        </w:rPr>
      </w:r>
    </w:p>
    <w:p w14:paraId="07387300" w14:textId="77777777">
      <w:pPr>
        <w:pBdr/>
        <w:spacing/>
        <w:ind/>
        <w:jc w:val="both"/>
        <w:rPr>
          <w:rFonts w:ascii="Arial" w:hAnsi="Arial" w:eastAsia="Arial" w:cs="Arial"/>
          <w:color w:val="000000"/>
        </w:rPr>
      </w:pPr>
      <w:r>
        <w:rPr>
          <w:rFonts w:ascii="Arial" w:hAnsi="Arial" w:eastAsia="Arial" w:cs="Arial"/>
          <w:color w:val="000000"/>
        </w:rPr>
      </w:r>
      <w:r>
        <w:rPr>
          <w:rFonts w:ascii="Arial" w:hAnsi="Arial" w:eastAsia="Arial" w:cs="Arial"/>
          <w:color w:val="000000"/>
        </w:rPr>
      </w:r>
    </w:p>
    <w:p w14:paraId="1BA07C5A" w14:textId="77777777">
      <w:pPr>
        <w:pBdr/>
        <w:spacing/>
        <w:ind/>
        <w:jc w:val="both"/>
        <w:rPr>
          <w:rFonts w:ascii="Arial" w:hAnsi="Arial" w:eastAsia="Arial" w:cs="Arial"/>
          <w:color w:val="000000"/>
        </w:rPr>
      </w:pPr>
      <w:r>
        <w:rPr>
          <w:rFonts w:ascii="Arial" w:hAnsi="Arial" w:eastAsia="Arial" w:cs="Arial"/>
          <w:b/>
          <w:bCs/>
          <w:color w:val="000000"/>
        </w:rPr>
        <w:t xml:space="preserve">12.5.</w:t>
      </w:r>
      <w:r>
        <w:rPr>
          <w:rFonts w:ascii="Arial" w:hAnsi="Arial" w:eastAsia="Arial" w:cs="Arial"/>
          <w:color w:val="000000"/>
        </w:rPr>
        <w:t xml:space="preserve"> A aplicação do tratamento diferenciado previsto na Lei Municipal nº 14.569/2025 não incidirá sobre o presente certame, em razão da natureza do objeto (prestação de </w:t>
      </w:r>
      <w:r>
        <w:rPr>
          <w:rFonts w:ascii="Arial" w:hAnsi="Arial" w:eastAsia="Arial" w:cs="Arial"/>
          <w:b/>
          <w:bCs/>
          <w:color w:val="000000"/>
        </w:rPr>
        <w:t xml:space="preserve">serviços</w:t>
      </w:r>
      <w:r>
        <w:rPr>
          <w:rFonts w:ascii="Arial" w:hAnsi="Arial" w:eastAsia="Arial" w:cs="Arial"/>
          <w:color w:val="000000"/>
        </w:rPr>
        <w:t xml:space="preserve"> especializados), do valor </w:t>
      </w:r>
      <w:r>
        <w:rPr>
          <w:rFonts w:ascii="Arial" w:hAnsi="Arial" w:eastAsia="Arial" w:cs="Arial"/>
          <w:color w:val="000000"/>
        </w:rPr>
        <w:t xml:space="preserve">global estimado da contratação e das especificidades técnicas envolvidas, conforme justificativa técnica devidamente fundamentada e constante nos autos do respectivo processo administrativo, a qual integra o presente procedimento para todos os fins legais.</w:t>
      </w:r>
      <w:r>
        <w:rPr>
          <w:rFonts w:ascii="Arial" w:hAnsi="Arial" w:eastAsia="Arial" w:cs="Arial"/>
          <w:color w:val="000000"/>
        </w:rPr>
      </w:r>
    </w:p>
    <w:p w14:paraId="76CF48C2" w14:textId="77777777">
      <w:pPr>
        <w:pBdr/>
        <w:spacing/>
        <w:ind/>
        <w:jc w:val="both"/>
        <w:rPr>
          <w:rFonts w:ascii="Arial" w:hAnsi="Arial" w:eastAsia="Arial" w:cs="Arial"/>
          <w:b/>
          <w:color w:val="000000"/>
        </w:rPr>
      </w:pPr>
      <w:r>
        <w:rPr>
          <w:rFonts w:ascii="Arial" w:hAnsi="Arial" w:eastAsia="Arial" w:cs="Arial"/>
          <w:b/>
          <w:color w:val="000000"/>
        </w:rPr>
      </w:r>
      <w:r>
        <w:rPr>
          <w:rFonts w:ascii="Arial" w:hAnsi="Arial" w:eastAsia="Arial" w:cs="Arial"/>
          <w:b/>
          <w:color w:val="000000"/>
        </w:rPr>
      </w:r>
    </w:p>
    <w:p w14:paraId="09271FEF" w14:textId="77777777">
      <w:pPr>
        <w:pStyle w:val="882"/>
        <w:pBdr/>
        <w:spacing w:after="0" w:before="0"/>
        <w:ind/>
        <w:rPr>
          <w:sz w:val="20"/>
          <w:szCs w:val="20"/>
          <w:lang w:val="pt-BR"/>
        </w:rPr>
      </w:pPr>
      <w:r/>
      <w:bookmarkStart w:id="21" w:name="_heading=h.6xzn9cg2j98"/>
      <w:r/>
      <w:bookmarkEnd w:id="21"/>
      <w:r>
        <w:rPr>
          <w:sz w:val="20"/>
          <w:szCs w:val="20"/>
          <w:lang w:val="pt-BR"/>
        </w:rPr>
        <w:t xml:space="preserve">13. DOS DOCUMENTOS EXIGIDOS PARA HABILITAÇÃO:  </w:t>
      </w:r>
      <w:r>
        <w:rPr>
          <w:sz w:val="20"/>
          <w:szCs w:val="20"/>
          <w:lang w:val="pt-BR"/>
        </w:rPr>
      </w:r>
    </w:p>
    <w:p w14:paraId="3D00C534"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619A2A44" w14:textId="77777777">
      <w:pPr>
        <w:pBdr/>
        <w:spacing/>
        <w:ind/>
        <w:jc w:val="both"/>
        <w:rPr>
          <w:rFonts w:ascii="Arial" w:hAnsi="Arial" w:eastAsia="Arial" w:cs="Arial"/>
        </w:rPr>
      </w:pPr>
      <w:r>
        <w:rPr>
          <w:rFonts w:ascii="Arial" w:hAnsi="Arial" w:eastAsia="Arial" w:cs="Arial"/>
          <w:b/>
        </w:rPr>
        <w:t xml:space="preserve">13.1.</w:t>
      </w:r>
      <w:r>
        <w:rPr>
          <w:rFonts w:ascii="Arial" w:hAnsi="Arial" w:eastAsia="Arial" w:cs="Arial"/>
        </w:rPr>
        <w:t xml:space="preserve"> </w:t>
      </w:r>
      <w:r>
        <w:rPr>
          <w:rFonts w:ascii="Arial" w:hAnsi="Arial" w:cs="Arial"/>
        </w:rPr>
        <w:t xml:space="preserve">Os documentos exigidos do (s) vencedor (es) para habilitação, deverão ser anexados exclusivamente na plataforma da BLL, em até 2 (duas) horas após o encerramento da sessão (art. 62 a 70 da Lei 14.133/21):</w:t>
      </w:r>
      <w:r>
        <w:rPr>
          <w:rFonts w:ascii="Arial" w:hAnsi="Arial" w:eastAsia="Arial" w:cs="Arial"/>
        </w:rPr>
      </w:r>
    </w:p>
    <w:p w14:paraId="72544C64"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2703826E" w14:textId="77777777">
      <w:pPr>
        <w:pBdr/>
        <w:spacing/>
        <w:ind/>
        <w:jc w:val="both"/>
        <w:rPr>
          <w:rFonts w:ascii="Arial" w:hAnsi="Arial" w:eastAsia="Arial" w:cs="Arial"/>
          <w:b/>
          <w:color w:val="000000"/>
        </w:rPr>
      </w:pPr>
      <w:r>
        <w:rPr>
          <w:rFonts w:ascii="Arial" w:hAnsi="Arial" w:eastAsia="Arial" w:cs="Arial"/>
          <w:b/>
          <w:color w:val="000000"/>
        </w:rPr>
        <w:t xml:space="preserve">13.2 A DOCUMENTAÇÃO RELATIVA À HABILITAÇÃO JURÍDICA CONSISTE EM: </w:t>
      </w:r>
      <w:r>
        <w:rPr>
          <w:rFonts w:ascii="Arial" w:hAnsi="Arial" w:eastAsia="Arial" w:cs="Arial"/>
          <w:b/>
          <w:color w:val="000000"/>
        </w:rPr>
      </w:r>
    </w:p>
    <w:p w14:paraId="4CAF713B"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0197B1EA" w14:textId="77777777">
      <w:pPr>
        <w:pBdr/>
        <w:spacing/>
        <w:ind/>
        <w:jc w:val="both"/>
        <w:rPr/>
      </w:pPr>
      <w:r>
        <w:rPr>
          <w:rFonts w:ascii="Arial" w:hAnsi="Arial" w:eastAsia="Arial" w:cs="Arial"/>
          <w:b/>
        </w:rPr>
        <w:t xml:space="preserve">13.2.1. </w:t>
      </w:r>
      <w:r>
        <w:rPr>
          <w:rFonts w:ascii="Arial" w:hAnsi="Arial" w:eastAsia="Arial" w:cs="Arial"/>
        </w:rPr>
        <w:t xml:space="preserve">No caso de empresário individual, inscrição no Registro Público de Empresas Mercantis, a cargo da Junta Comercial da respectiva sede; Microempreendedor Individual - MEI: Certificado da Condição de Microempreendedor Individual - CCMEI</w:t>
      </w:r>
      <w:r/>
    </w:p>
    <w:p w14:paraId="33910A71"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5E4A5FE0" w14:textId="77777777">
      <w:pPr>
        <w:pBdr/>
        <w:spacing/>
        <w:ind/>
        <w:jc w:val="both"/>
        <w:rPr/>
      </w:pPr>
      <w:r>
        <w:rPr>
          <w:rFonts w:ascii="Arial" w:hAnsi="Arial" w:eastAsia="Arial" w:cs="Arial"/>
          <w:b/>
        </w:rPr>
        <w:t xml:space="preserve">13.2.2.</w:t>
      </w:r>
      <w:r>
        <w:rPr>
          <w:rFonts w:ascii="Arial" w:hAnsi="Arial" w:eastAsia="Arial" w:cs="Arial"/>
        </w:rPr>
        <w:t xml:space="preserve">  Ato constitutivo, estatuto ou contrato social e alterações em vigor, devidamente registrado, em se tratando de sociedades comerciais e, no caso de sociedades por ações, acompanhado de documentos de eleição de seus administradores; </w:t>
      </w:r>
      <w:r/>
    </w:p>
    <w:p w14:paraId="664CFD03"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32933C26" w14:textId="77777777">
      <w:pPr>
        <w:pBdr/>
        <w:spacing/>
        <w:ind/>
        <w:jc w:val="both"/>
        <w:rPr/>
      </w:pPr>
      <w:r>
        <w:rPr>
          <w:rFonts w:ascii="Arial" w:hAnsi="Arial" w:eastAsia="Arial" w:cs="Arial"/>
          <w:b/>
        </w:rPr>
        <w:t xml:space="preserve">13.2.3.</w:t>
      </w:r>
      <w:r>
        <w:rPr>
          <w:rFonts w:ascii="Arial" w:hAnsi="Arial" w:eastAsia="Arial" w:cs="Arial"/>
        </w:rPr>
        <w:t xml:space="preserve">  Inscrição do ato constitutivo, no caso de sociedades civis, acompanhada de prova de diretoria em exercício; </w:t>
      </w:r>
      <w:r/>
    </w:p>
    <w:p w14:paraId="55775266"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5DA0EFAA" w14:textId="77777777">
      <w:pPr>
        <w:pBdr/>
        <w:spacing/>
        <w:ind/>
        <w:jc w:val="both"/>
        <w:rPr/>
      </w:pPr>
      <w:r>
        <w:rPr>
          <w:rFonts w:ascii="Arial" w:hAnsi="Arial" w:eastAsia="Arial" w:cs="Arial"/>
          <w:b/>
        </w:rPr>
        <w:t xml:space="preserve">13.2.4.</w:t>
      </w:r>
      <w:r>
        <w:rPr>
          <w:rFonts w:ascii="Arial" w:hAnsi="Arial" w:eastAsia="Arial" w:cs="Arial"/>
        </w:rPr>
        <w:t xml:space="preserve"> Decreto de autorização, em se tratando de empresa ou sociedade estrangeira em funcionamento no País, e ato de registro ou autorização para funcionamento expedido pelo Órgão competente, quando a atividade assim o exigir; </w:t>
      </w:r>
      <w:r/>
    </w:p>
    <w:p w14:paraId="02173A15"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501BEBA1" w14:textId="77777777">
      <w:pPr>
        <w:pBdr/>
        <w:spacing/>
        <w:ind/>
        <w:jc w:val="both"/>
        <w:rPr>
          <w:rFonts w:ascii="Arial" w:hAnsi="Arial" w:eastAsia="Arial" w:cs="Arial"/>
        </w:rPr>
      </w:pPr>
      <w:r>
        <w:rPr>
          <w:rFonts w:ascii="Arial" w:hAnsi="Arial" w:eastAsia="Arial" w:cs="Arial"/>
          <w:b/>
        </w:rPr>
        <w:t xml:space="preserve">13.2.5.</w:t>
      </w:r>
      <w:r>
        <w:rPr>
          <w:rFonts w:ascii="Arial" w:hAnsi="Arial" w:eastAsia="Arial" w:cs="Arial"/>
        </w:rPr>
        <w:t xml:space="preserve"> Cópia do documento de Identidade e CPF dos Representantes</w:t>
      </w:r>
      <w:r>
        <w:rPr>
          <w:rFonts w:ascii="Arial" w:hAnsi="Arial" w:eastAsia="Arial" w:cs="Arial"/>
        </w:rPr>
        <w:t xml:space="preserve"> Legais da empresa; sociedade cooperativa: ata de fundação e estatuto social em vigor, com a ata da assembleia que o aprovou, devidamente arquivado na Junta Comercial da respectiva sede, bem como o registro de que trata o art. 107 da Lei nº 5.764, de 1971.</w:t>
      </w:r>
      <w:r>
        <w:rPr>
          <w:rFonts w:ascii="Arial" w:hAnsi="Arial" w:eastAsia="Arial" w:cs="Arial"/>
        </w:rPr>
      </w:r>
    </w:p>
    <w:p w14:paraId="5A2B5B94" w14:textId="77777777">
      <w:pPr>
        <w:pBdr/>
        <w:tabs>
          <w:tab w:val="left" w:leader="none" w:pos="7605"/>
        </w:tabs>
        <w:spacing/>
        <w:ind/>
        <w:jc w:val="both"/>
        <w:rPr>
          <w:rFonts w:ascii="Arial" w:hAnsi="Arial" w:eastAsia="Arial" w:cs="Arial"/>
        </w:rPr>
      </w:pPr>
      <w:r>
        <w:rPr>
          <w:rFonts w:ascii="Arial" w:hAnsi="Arial" w:eastAsia="Arial" w:cs="Arial"/>
        </w:rPr>
        <w:tab/>
      </w:r>
      <w:r>
        <w:rPr>
          <w:rFonts w:ascii="Arial" w:hAnsi="Arial" w:eastAsia="Arial" w:cs="Arial"/>
        </w:rPr>
      </w:r>
    </w:p>
    <w:p w14:paraId="4C65104F" w14:textId="77777777">
      <w:pPr>
        <w:pBdr/>
        <w:spacing/>
        <w:ind/>
        <w:jc w:val="both"/>
        <w:rPr>
          <w:rFonts w:ascii="Arial" w:hAnsi="Arial" w:eastAsia="Arial" w:cs="Arial"/>
          <w:b/>
        </w:rPr>
      </w:pPr>
      <w:r>
        <w:rPr>
          <w:rFonts w:ascii="Arial" w:hAnsi="Arial" w:eastAsia="Arial" w:cs="Arial"/>
          <w:b/>
        </w:rPr>
        <w:t xml:space="preserve">13.3. DA COMPROVAÇÃO DE LOCALIZAÇÃO E FUNCIONAMENTO: </w:t>
      </w:r>
      <w:r>
        <w:rPr>
          <w:rFonts w:ascii="Arial" w:hAnsi="Arial" w:eastAsia="Arial" w:cs="Arial"/>
          <w:b/>
        </w:rPr>
      </w:r>
    </w:p>
    <w:p w14:paraId="5C2F94D8"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286DFCC2" w14:textId="77777777">
      <w:pPr>
        <w:pBdr/>
        <w:spacing/>
        <w:ind/>
        <w:jc w:val="both"/>
        <w:rPr>
          <w:rFonts w:ascii="Arial" w:hAnsi="Arial" w:eastAsia="Arial" w:cs="Arial"/>
          <w:color w:val="000000"/>
        </w:rPr>
      </w:pPr>
      <w:r>
        <w:rPr>
          <w:rFonts w:ascii="Arial" w:hAnsi="Arial" w:eastAsia="Arial" w:cs="Arial"/>
          <w:b/>
          <w:color w:val="000000"/>
        </w:rPr>
        <w:t xml:space="preserve">13.3.1</w:t>
      </w:r>
      <w:r>
        <w:rPr>
          <w:rFonts w:ascii="Arial" w:hAnsi="Arial" w:eastAsia="Arial" w:cs="Arial"/>
          <w:color w:val="000000"/>
        </w:rPr>
        <w:t xml:space="preserve">. Alvará de Localização e Funcionamento, apenas para fins de verificação, Obrigatório para o momento contratual.</w:t>
      </w:r>
      <w:r>
        <w:rPr>
          <w:rFonts w:ascii="Arial" w:hAnsi="Arial" w:eastAsia="Arial" w:cs="Arial"/>
          <w:color w:val="000000"/>
        </w:rPr>
      </w:r>
    </w:p>
    <w:p w14:paraId="1E867399" w14:textId="77777777">
      <w:pPr>
        <w:pBdr/>
        <w:spacing/>
        <w:ind/>
        <w:jc w:val="both"/>
        <w:rPr>
          <w:rFonts w:ascii="Arial" w:hAnsi="Arial" w:eastAsia="Arial" w:cs="Arial"/>
          <w:color w:val="000000"/>
        </w:rPr>
      </w:pPr>
      <w:r>
        <w:rPr>
          <w:rFonts w:ascii="Arial" w:hAnsi="Arial" w:eastAsia="Arial" w:cs="Arial"/>
          <w:color w:val="000000"/>
        </w:rPr>
      </w:r>
      <w:r>
        <w:rPr>
          <w:rFonts w:ascii="Arial" w:hAnsi="Arial" w:eastAsia="Arial" w:cs="Arial"/>
          <w:color w:val="000000"/>
        </w:rPr>
      </w:r>
    </w:p>
    <w:p w14:paraId="270D753F" w14:textId="77777777">
      <w:pPr>
        <w:pBdr/>
        <w:spacing/>
        <w:ind/>
        <w:jc w:val="both"/>
        <w:rPr>
          <w:rFonts w:ascii="Arial" w:hAnsi="Arial" w:eastAsia="Arial" w:cs="Arial"/>
          <w:b/>
        </w:rPr>
      </w:pPr>
      <w:r>
        <w:rPr>
          <w:rFonts w:ascii="Arial" w:hAnsi="Arial" w:eastAsia="Arial" w:cs="Arial"/>
          <w:b/>
        </w:rPr>
        <w:t xml:space="preserve">13.4. A DOCUMENTAÇÃO RELATIVA À QUALIFICAÇÃO ECOCÔMICA-FINANCEIRA CONSISTE EM: </w:t>
      </w:r>
      <w:r>
        <w:rPr>
          <w:rFonts w:ascii="Arial" w:hAnsi="Arial" w:eastAsia="Arial" w:cs="Arial"/>
          <w:b/>
        </w:rPr>
      </w:r>
    </w:p>
    <w:p w14:paraId="4A57C25C"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23C82069" w14:textId="77777777">
      <w:pPr>
        <w:pBdr/>
        <w:spacing/>
        <w:ind/>
        <w:jc w:val="both"/>
        <w:rPr>
          <w:rFonts w:ascii="Arial" w:hAnsi="Arial" w:eastAsia="Arial" w:cs="Arial"/>
          <w:color w:val="000000"/>
        </w:rPr>
      </w:pPr>
      <w:r>
        <w:rPr>
          <w:rFonts w:ascii="Arial" w:hAnsi="Arial" w:eastAsia="Arial" w:cs="Arial"/>
          <w:b/>
          <w:color w:val="000000"/>
        </w:rPr>
        <w:t xml:space="preserve">13.4.1.</w:t>
      </w:r>
      <w:r>
        <w:rPr>
          <w:rFonts w:ascii="Arial" w:hAnsi="Arial" w:eastAsia="Arial" w:cs="Arial"/>
          <w:color w:val="000000"/>
        </w:rPr>
        <w:t xml:space="preserve"> Certidão nega</w:t>
      </w:r>
      <w:r>
        <w:rPr>
          <w:rFonts w:ascii="Arial" w:hAnsi="Arial" w:eastAsia="Arial" w:cs="Arial"/>
          <w:color w:val="000000"/>
        </w:rPr>
        <w:t xml:space="preserve">tiva de falência, expedida pelo distribuidor da sede da pessoa jurídica, se houver determinação nesse sentido, em data não superior a 60 (sessenta) dias da data designada para apresentação do documento, exceto se outro prazo constar do referido documento; </w:t>
      </w:r>
      <w:r>
        <w:rPr>
          <w:rFonts w:ascii="Arial" w:hAnsi="Arial" w:eastAsia="Arial" w:cs="Arial"/>
          <w:color w:val="000000"/>
        </w:rPr>
      </w:r>
    </w:p>
    <w:p w14:paraId="4F901F94" w14:textId="77777777">
      <w:pPr>
        <w:pBdr/>
        <w:spacing/>
        <w:ind/>
        <w:jc w:val="both"/>
        <w:rPr>
          <w:rFonts w:ascii="Arial" w:hAnsi="Arial" w:eastAsia="Arial" w:cs="Arial"/>
          <w:color w:val="000000"/>
        </w:rPr>
      </w:pPr>
      <w:r>
        <w:rPr>
          <w:rFonts w:ascii="Arial" w:hAnsi="Arial" w:eastAsia="Arial" w:cs="Arial"/>
          <w:color w:val="000000"/>
        </w:rPr>
      </w:r>
      <w:r>
        <w:rPr>
          <w:rFonts w:ascii="Arial" w:hAnsi="Arial" w:eastAsia="Arial" w:cs="Arial"/>
          <w:color w:val="000000"/>
        </w:rPr>
      </w:r>
    </w:p>
    <w:p w14:paraId="67185CE3" w14:textId="77777777">
      <w:pPr>
        <w:pBdr/>
        <w:spacing/>
        <w:ind/>
        <w:jc w:val="both"/>
        <w:rPr>
          <w:rFonts w:ascii="Arial" w:hAnsi="Arial" w:eastAsia="Arial" w:cs="Arial"/>
          <w:color w:val="000000"/>
        </w:rPr>
      </w:pPr>
      <w:r>
        <w:rPr>
          <w:rFonts w:ascii="Arial" w:hAnsi="Arial" w:eastAsia="Arial" w:cs="Arial"/>
          <w:b/>
          <w:color w:val="000000"/>
        </w:rPr>
        <w:t xml:space="preserve">13.4.2.</w:t>
      </w:r>
      <w:r>
        <w:rPr>
          <w:rFonts w:ascii="Arial" w:hAnsi="Arial" w:eastAsia="Arial" w:cs="Arial"/>
          <w:color w:val="000000"/>
        </w:rPr>
        <w:t xml:space="preserve"> Com a finalidade de evitar duplicidade de informações, toda a documentação relativa à qualificação econômico-financeira exigida ficará devidamente detalhada no </w:t>
      </w:r>
      <w:r>
        <w:rPr>
          <w:rFonts w:ascii="Arial" w:hAnsi="Arial" w:eastAsia="Arial" w:cs="Arial"/>
          <w:b/>
          <w:color w:val="000000"/>
        </w:rPr>
        <w:t xml:space="preserve">Termo de Referência, que integra o presente edital como anexo</w:t>
      </w:r>
      <w:r>
        <w:rPr>
          <w:rFonts w:ascii="Arial" w:hAnsi="Arial" w:eastAsia="Arial" w:cs="Arial"/>
          <w:color w:val="000000"/>
        </w:rPr>
        <w:t xml:space="preserve">, contemplando de forma clara e objetiva todas as informações, requisitos e exigências necessários ao atendimento das condições de habilitação.</w:t>
      </w:r>
      <w:r>
        <w:rPr>
          <w:rFonts w:ascii="Arial" w:hAnsi="Arial" w:eastAsia="Arial" w:cs="Arial"/>
          <w:color w:val="000000"/>
        </w:rPr>
      </w:r>
    </w:p>
    <w:p w14:paraId="2CB04E6D" w14:textId="77777777">
      <w:pPr>
        <w:pBdr/>
        <w:spacing/>
        <w:ind/>
        <w:jc w:val="both"/>
        <w:rPr>
          <w:rFonts w:ascii="Arial" w:hAnsi="Arial" w:eastAsia="Arial" w:cs="Arial"/>
          <w:color w:val="000000"/>
        </w:rPr>
      </w:pPr>
      <w:r>
        <w:rPr>
          <w:rFonts w:ascii="Arial" w:hAnsi="Arial" w:eastAsia="Arial" w:cs="Arial"/>
          <w:color w:val="000000"/>
        </w:rPr>
      </w:r>
      <w:r>
        <w:rPr>
          <w:rFonts w:ascii="Arial" w:hAnsi="Arial" w:eastAsia="Arial" w:cs="Arial"/>
          <w:color w:val="000000"/>
        </w:rPr>
      </w:r>
    </w:p>
    <w:p w14:paraId="02BD7CE6" w14:textId="77777777">
      <w:pPr>
        <w:pBdr/>
        <w:spacing/>
        <w:ind/>
        <w:jc w:val="both"/>
        <w:rPr>
          <w:rFonts w:ascii="Arial" w:hAnsi="Arial" w:eastAsia="Arial" w:cs="Arial"/>
          <w:b/>
        </w:rPr>
      </w:pPr>
      <w:r>
        <w:rPr>
          <w:rFonts w:ascii="Arial" w:hAnsi="Arial" w:eastAsia="Arial" w:cs="Arial"/>
          <w:b/>
        </w:rPr>
        <w:t xml:space="preserve">13.5. A DOCUMENTAÇÃO RELATIVA À REGULARIDADE FISCAL E TRABALHISTA CONSISTE EM:</w:t>
      </w:r>
      <w:r>
        <w:rPr>
          <w:rFonts w:ascii="Arial" w:hAnsi="Arial" w:eastAsia="Arial" w:cs="Arial"/>
          <w:b/>
        </w:rPr>
      </w:r>
    </w:p>
    <w:p w14:paraId="3A6D3A1A" w14:textId="77777777">
      <w:pPr>
        <w:pBdr/>
        <w:spacing/>
        <w:ind/>
        <w:jc w:val="both"/>
        <w:rPr>
          <w:rFonts w:ascii="Arial" w:hAnsi="Arial" w:eastAsia="Arial" w:cs="Arial"/>
          <w:b/>
          <w:color w:val="000000"/>
        </w:rPr>
      </w:pPr>
      <w:r>
        <w:rPr>
          <w:rFonts w:ascii="Arial" w:hAnsi="Arial" w:eastAsia="Arial" w:cs="Arial"/>
          <w:b/>
          <w:color w:val="000000"/>
        </w:rPr>
      </w:r>
      <w:r>
        <w:rPr>
          <w:rFonts w:ascii="Arial" w:hAnsi="Arial" w:eastAsia="Arial" w:cs="Arial"/>
          <w:b/>
          <w:color w:val="000000"/>
        </w:rPr>
      </w:r>
    </w:p>
    <w:p w14:paraId="0B5ADA48" w14:textId="77777777">
      <w:pPr>
        <w:pBdr/>
        <w:spacing/>
        <w:ind/>
        <w:jc w:val="both"/>
        <w:rPr>
          <w:rFonts w:ascii="Arial" w:hAnsi="Arial" w:eastAsia="Arial" w:cs="Arial"/>
          <w:color w:val="000000"/>
        </w:rPr>
      </w:pPr>
      <w:r>
        <w:rPr>
          <w:rFonts w:ascii="Arial" w:hAnsi="Arial" w:eastAsia="Arial" w:cs="Arial"/>
          <w:b/>
          <w:color w:val="000000"/>
        </w:rPr>
        <w:t xml:space="preserve">13.5.1</w:t>
      </w:r>
      <w:r>
        <w:rPr>
          <w:rFonts w:ascii="Arial" w:hAnsi="Arial" w:eastAsia="Arial" w:cs="Arial"/>
          <w:color w:val="000000"/>
        </w:rPr>
        <w:t xml:space="preserve">. Prova de inscrição no Cadastro Nacional de Pessoas Jurídicas (CNPJ);</w:t>
      </w:r>
      <w:r>
        <w:rPr>
          <w:rFonts w:ascii="Arial" w:hAnsi="Arial" w:eastAsia="Arial" w:cs="Arial"/>
          <w:color w:val="000000"/>
        </w:rPr>
      </w:r>
    </w:p>
    <w:p w14:paraId="3774B6AD"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1390DF5F" w14:textId="77777777">
      <w:pPr>
        <w:pBdr/>
        <w:spacing/>
        <w:ind/>
        <w:jc w:val="both"/>
        <w:rPr>
          <w:rFonts w:ascii="Arial" w:hAnsi="Arial" w:eastAsia="Arial" w:cs="Arial"/>
          <w:color w:val="000000"/>
        </w:rPr>
      </w:pPr>
      <w:r>
        <w:rPr>
          <w:rFonts w:ascii="Arial" w:hAnsi="Arial" w:eastAsia="Arial" w:cs="Arial"/>
          <w:b/>
          <w:color w:val="000000"/>
        </w:rPr>
        <w:t xml:space="preserve">13.5.2.</w:t>
      </w:r>
      <w:r>
        <w:rPr>
          <w:rFonts w:ascii="Arial" w:hAnsi="Arial" w:eastAsia="Arial" w:cs="Arial"/>
          <w:color w:val="000000"/>
        </w:rPr>
        <w:t xml:space="preserve"> Prova de Inscrição no Cadastro de Contribuinte Estadual, relativo à sede da licitante, pertinente ao seu ramo de atividade e compatível com o objeto do certame.</w:t>
      </w:r>
      <w:r>
        <w:rPr>
          <w:rFonts w:ascii="Arial" w:hAnsi="Arial" w:eastAsia="Arial" w:cs="Arial"/>
          <w:color w:val="000000"/>
        </w:rPr>
      </w:r>
    </w:p>
    <w:p w14:paraId="37D5EECB"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2536ACD4" w14:textId="77777777">
      <w:pPr>
        <w:pBdr/>
        <w:spacing/>
        <w:ind/>
        <w:jc w:val="both"/>
        <w:rPr>
          <w:rFonts w:ascii="Arial" w:hAnsi="Arial" w:eastAsia="Arial" w:cs="Arial"/>
          <w:color w:val="000000"/>
        </w:rPr>
      </w:pPr>
      <w:r>
        <w:rPr>
          <w:rFonts w:ascii="Arial" w:hAnsi="Arial" w:eastAsia="Arial" w:cs="Arial"/>
          <w:b/>
          <w:color w:val="000000"/>
        </w:rPr>
        <w:t xml:space="preserve">13.5.3.</w:t>
      </w:r>
      <w:r>
        <w:rPr>
          <w:rFonts w:ascii="Arial" w:hAnsi="Arial" w:eastAsia="Arial" w:cs="Arial"/>
          <w:color w:val="000000"/>
        </w:rPr>
        <w:t xml:space="preserve"> Certidão Negativa de Débitos expedida conjuntamente pela Secretaria da Receita Federal do Brasil (RFB) e pela Procuradoria-Geral da Fazenda Nacional (PGFN), referente a todos os créditos tributários federais e à Dívida Ativa da União (DAU) por elas admini</w:t>
      </w:r>
      <w:r>
        <w:rPr>
          <w:rFonts w:ascii="Arial" w:hAnsi="Arial" w:eastAsia="Arial" w:cs="Arial"/>
          <w:color w:val="000000"/>
        </w:rPr>
        <w:t xml:space="preserve">strados, inclusive os créditos tributários relativos às Contribuições Sociais previstas nas alíneas “a”, “b”, e “c” do parágrafo único do art. 11 da Lei nº 8.212, de 24 de julho de 1991, às contribuições instituídas a título de substituição, e às contribui</w:t>
      </w:r>
      <w:r>
        <w:rPr>
          <w:rFonts w:ascii="Arial" w:hAnsi="Arial" w:eastAsia="Arial" w:cs="Arial"/>
          <w:color w:val="000000"/>
        </w:rPr>
        <w:t xml:space="preserve">ções devidas, por lei, a terceiros;</w:t>
      </w:r>
      <w:r>
        <w:rPr>
          <w:rFonts w:ascii="Arial" w:hAnsi="Arial" w:eastAsia="Arial" w:cs="Arial"/>
          <w:color w:val="000000"/>
        </w:rPr>
      </w:r>
    </w:p>
    <w:p w14:paraId="3D90F4A4" w14:textId="77777777">
      <w:pPr>
        <w:pBdr/>
        <w:spacing/>
        <w:ind/>
        <w:jc w:val="both"/>
        <w:rPr>
          <w:rFonts w:ascii="Arial" w:hAnsi="Arial" w:eastAsia="Arial" w:cs="Arial"/>
          <w:color w:val="000000"/>
        </w:rPr>
      </w:pPr>
      <w:r>
        <w:rPr>
          <w:rFonts w:ascii="Arial" w:hAnsi="Arial" w:eastAsia="Arial" w:cs="Arial"/>
          <w:color w:val="000000"/>
        </w:rPr>
      </w:r>
      <w:r>
        <w:rPr>
          <w:rFonts w:ascii="Arial" w:hAnsi="Arial" w:eastAsia="Arial" w:cs="Arial"/>
          <w:color w:val="000000"/>
        </w:rPr>
      </w:r>
    </w:p>
    <w:p w14:paraId="7D06172F" w14:textId="77777777">
      <w:pPr>
        <w:pBdr/>
        <w:spacing/>
        <w:ind/>
        <w:jc w:val="both"/>
        <w:rPr>
          <w:rFonts w:ascii="Arial" w:hAnsi="Arial" w:eastAsia="Arial" w:cs="Arial"/>
          <w:color w:val="000000"/>
        </w:rPr>
      </w:pPr>
      <w:r>
        <w:rPr>
          <w:rFonts w:ascii="Arial" w:hAnsi="Arial" w:eastAsia="Arial" w:cs="Arial"/>
          <w:b/>
          <w:color w:val="000000"/>
        </w:rPr>
        <w:t xml:space="preserve">13.5.4.</w:t>
      </w:r>
      <w:r>
        <w:rPr>
          <w:rFonts w:ascii="Arial" w:hAnsi="Arial" w:eastAsia="Arial" w:cs="Arial"/>
          <w:color w:val="000000"/>
        </w:rPr>
        <w:t xml:space="preserve"> Certidão Negativa de Débitos Fiscal com a Fazenda Estadual, emitida pela Agência Fazendária da Secretaria de estado de fazenda do respectivo domicílio tributário;</w:t>
      </w:r>
      <w:r>
        <w:rPr>
          <w:rFonts w:ascii="Arial" w:hAnsi="Arial" w:eastAsia="Arial" w:cs="Arial"/>
          <w:color w:val="000000"/>
        </w:rPr>
      </w:r>
    </w:p>
    <w:p w14:paraId="6DB45D95" w14:textId="77777777">
      <w:pPr>
        <w:pBdr/>
        <w:spacing/>
        <w:ind/>
        <w:jc w:val="both"/>
        <w:rPr>
          <w:rFonts w:ascii="Arial" w:hAnsi="Arial" w:eastAsia="Arial" w:cs="Arial"/>
          <w:b/>
          <w:color w:val="000000"/>
        </w:rPr>
      </w:pPr>
      <w:r>
        <w:rPr>
          <w:rFonts w:ascii="Arial" w:hAnsi="Arial" w:eastAsia="Arial" w:cs="Arial"/>
          <w:b/>
          <w:color w:val="000000"/>
        </w:rPr>
      </w:r>
      <w:r>
        <w:rPr>
          <w:rFonts w:ascii="Arial" w:hAnsi="Arial" w:eastAsia="Arial" w:cs="Arial"/>
          <w:b/>
          <w:color w:val="000000"/>
        </w:rPr>
      </w:r>
    </w:p>
    <w:p w14:paraId="3B77128B" w14:textId="77777777">
      <w:pPr>
        <w:pBdr/>
        <w:spacing/>
        <w:ind/>
        <w:jc w:val="both"/>
        <w:rPr>
          <w:rFonts w:ascii="Arial" w:hAnsi="Arial" w:eastAsia="Arial" w:cs="Arial"/>
          <w:color w:val="000000"/>
        </w:rPr>
      </w:pPr>
      <w:r>
        <w:rPr>
          <w:rFonts w:ascii="Arial" w:hAnsi="Arial" w:eastAsia="Arial" w:cs="Arial"/>
          <w:b/>
          <w:color w:val="000000"/>
        </w:rPr>
        <w:t xml:space="preserve">13.5.5.</w:t>
      </w:r>
      <w:r>
        <w:rPr>
          <w:rFonts w:ascii="Arial" w:hAnsi="Arial" w:eastAsia="Arial" w:cs="Arial"/>
          <w:color w:val="000000"/>
        </w:rPr>
        <w:t xml:space="preserve"> Certidão Negativa de Débitos referentes aos tributos municipais, expedida pela Secretaria Municipal da Fazenda ou Finanças do respectivo domicílio tributário;</w:t>
      </w:r>
      <w:r>
        <w:rPr>
          <w:rFonts w:ascii="Arial" w:hAnsi="Arial" w:eastAsia="Arial" w:cs="Arial"/>
          <w:color w:val="000000"/>
        </w:rPr>
      </w:r>
    </w:p>
    <w:p w14:paraId="620F2A3F"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7AD4A539" w14:textId="77777777">
      <w:pPr>
        <w:pBdr/>
        <w:spacing/>
        <w:ind/>
        <w:jc w:val="both"/>
        <w:rPr>
          <w:rFonts w:ascii="Arial" w:hAnsi="Arial" w:eastAsia="Arial" w:cs="Arial"/>
          <w:color w:val="000000"/>
        </w:rPr>
      </w:pPr>
      <w:r>
        <w:rPr>
          <w:rFonts w:ascii="Arial" w:hAnsi="Arial" w:eastAsia="Arial" w:cs="Arial"/>
          <w:b/>
          <w:color w:val="000000"/>
        </w:rPr>
        <w:t xml:space="preserve">13.5.6.</w:t>
      </w:r>
      <w:r>
        <w:rPr>
          <w:rFonts w:ascii="Arial" w:hAnsi="Arial" w:eastAsia="Arial" w:cs="Arial"/>
          <w:color w:val="000000"/>
        </w:rPr>
        <w:t xml:space="preserve"> Certificado de Regularidade de Situação para com o Fundo de Garantia de Tempo de Serviço (CRF/FGTS), emitida pela Caixa Econômica Federal;</w:t>
      </w:r>
      <w:r>
        <w:rPr>
          <w:rFonts w:ascii="Arial" w:hAnsi="Arial" w:eastAsia="Arial" w:cs="Arial"/>
          <w:color w:val="000000"/>
        </w:rPr>
      </w:r>
    </w:p>
    <w:p w14:paraId="4AD382F4" w14:textId="77777777">
      <w:pPr>
        <w:pBdr/>
        <w:spacing/>
        <w:ind/>
        <w:jc w:val="both"/>
        <w:rPr>
          <w:rFonts w:ascii="Arial" w:hAnsi="Arial" w:eastAsia="Arial" w:cs="Arial"/>
          <w:color w:val="000000"/>
        </w:rPr>
      </w:pPr>
      <w:r>
        <w:rPr>
          <w:rFonts w:ascii="Arial" w:hAnsi="Arial" w:eastAsia="Arial" w:cs="Arial"/>
          <w:b/>
          <w:color w:val="000000"/>
        </w:rPr>
        <w:t xml:space="preserve">13.5.7.</w:t>
      </w:r>
      <w:r>
        <w:rPr>
          <w:rFonts w:ascii="Arial" w:hAnsi="Arial" w:eastAsia="Arial" w:cs="Arial"/>
          <w:color w:val="000000"/>
        </w:rPr>
        <w:t xml:space="preserve"> Certidão Negativa de Debito Trabalhista (CNDT), perante a Justiça do Trabalho, redação dada pela Lei nº 12.440/2011. (Obtida através do site: </w:t>
      </w:r>
      <w:hyperlink r:id="rId21" w:tooltip="http://www.tst.jus.br/" w:history="1">
        <w:r>
          <w:rPr>
            <w:rFonts w:ascii="Arial" w:hAnsi="Arial" w:eastAsia="Arial" w:cs="Arial"/>
            <w:color w:val="000000"/>
          </w:rPr>
          <w:t xml:space="preserve">www.tst.jus.br</w:t>
        </w:r>
      </w:hyperlink>
      <w:r>
        <w:rPr>
          <w:rFonts w:ascii="Arial" w:hAnsi="Arial" w:eastAsia="Arial" w:cs="Arial"/>
          <w:color w:val="000000"/>
        </w:rPr>
        <w:t xml:space="preserve">).</w:t>
      </w:r>
      <w:r>
        <w:rPr>
          <w:rFonts w:ascii="Arial" w:hAnsi="Arial" w:eastAsia="Arial" w:cs="Arial"/>
          <w:color w:val="000000"/>
        </w:rPr>
      </w:r>
    </w:p>
    <w:p w14:paraId="2F539F3C" w14:textId="77777777">
      <w:pPr>
        <w:pBdr/>
        <w:spacing/>
        <w:ind/>
        <w:jc w:val="both"/>
        <w:rPr>
          <w:rFonts w:ascii="Arial" w:hAnsi="Arial" w:eastAsia="Arial" w:cs="Arial"/>
          <w:color w:val="000000"/>
        </w:rPr>
      </w:pPr>
      <w:r>
        <w:rPr>
          <w:rFonts w:ascii="Arial" w:hAnsi="Arial" w:eastAsia="Arial" w:cs="Arial"/>
          <w:color w:val="000000"/>
        </w:rPr>
      </w:r>
      <w:r>
        <w:rPr>
          <w:rFonts w:ascii="Arial" w:hAnsi="Arial" w:eastAsia="Arial" w:cs="Arial"/>
          <w:color w:val="000000"/>
        </w:rPr>
      </w:r>
    </w:p>
    <w:p w14:paraId="36109D69" w14:textId="77777777">
      <w:pPr>
        <w:pBdr/>
        <w:spacing/>
        <w:ind/>
        <w:jc w:val="both"/>
        <w:rPr>
          <w:rFonts w:ascii="Arial" w:hAnsi="Arial" w:eastAsia="Arial" w:cs="Arial"/>
          <w:color w:val="000000"/>
        </w:rPr>
      </w:pPr>
      <w:r>
        <w:rPr>
          <w:rFonts w:ascii="Arial" w:hAnsi="Arial" w:eastAsia="Arial" w:cs="Arial"/>
          <w:color w:val="000000"/>
        </w:rPr>
        <w:t xml:space="preserve">13.5.8. Prova de Regularidade na Contratação de Pessoas com Deficiência e Reabilitados da Previdência Social;</w:t>
      </w:r>
      <w:r>
        <w:rPr>
          <w:rFonts w:ascii="Arial" w:hAnsi="Arial" w:eastAsia="Arial" w:cs="Arial"/>
          <w:color w:val="000000"/>
        </w:rPr>
      </w:r>
    </w:p>
    <w:p w14:paraId="36738C1A"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09D29BD0" w14:textId="77777777">
      <w:pPr>
        <w:pBdr/>
        <w:spacing/>
        <w:ind/>
        <w:jc w:val="both"/>
        <w:rPr>
          <w:rFonts w:ascii="Arial" w:hAnsi="Arial" w:eastAsia="Arial" w:cs="Arial"/>
        </w:rPr>
      </w:pPr>
      <w:r>
        <w:rPr>
          <w:rFonts w:ascii="Arial" w:hAnsi="Arial" w:eastAsia="Arial" w:cs="Arial"/>
          <w:b/>
        </w:rPr>
        <w:t xml:space="preserve">Observação:</w:t>
      </w:r>
      <w:r>
        <w:rPr>
          <w:rFonts w:ascii="Arial" w:hAnsi="Arial" w:eastAsia="Arial" w:cs="Arial"/>
        </w:rPr>
        <w:t xml:space="preserve"> As microempresas, empresas de pequeno porte, </w:t>
      </w:r>
      <w:r>
        <w:rPr>
          <w:rFonts w:ascii="Arial" w:hAnsi="Arial" w:eastAsia="Arial" w:cs="Arial"/>
          <w:color w:val="000000"/>
        </w:rPr>
        <w:t xml:space="preserve">e as sociedades cooperativas,</w:t>
      </w:r>
      <w:r>
        <w:rPr>
          <w:rFonts w:ascii="Arial" w:hAnsi="Arial" w:eastAsia="Arial" w:cs="Arial"/>
        </w:rPr>
        <w:t xml:space="preserve"> deverão apresentar toda a documentação exigida para efeito de comprovação de regularidade fiscal</w:t>
      </w:r>
      <w:r>
        <w:rPr>
          <w:rFonts w:ascii="Arial" w:hAnsi="Arial" w:eastAsia="Arial" w:cs="Arial"/>
          <w:color w:val="ff0000"/>
        </w:rPr>
        <w:t xml:space="preserve"> </w:t>
      </w:r>
      <w:r>
        <w:rPr>
          <w:rFonts w:ascii="Arial" w:hAnsi="Arial" w:eastAsia="Arial" w:cs="Arial"/>
        </w:rPr>
        <w:t xml:space="preserve">e trabalhista, mesmo que está apresente alguma restrição. </w:t>
      </w:r>
      <w:r>
        <w:rPr>
          <w:rFonts w:ascii="Arial" w:hAnsi="Arial" w:eastAsia="Arial" w:cs="Arial"/>
        </w:rPr>
      </w:r>
    </w:p>
    <w:p w14:paraId="6FB03049"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5539436D" w14:textId="77777777">
      <w:pPr>
        <w:pBdr/>
        <w:spacing/>
        <w:ind/>
        <w:jc w:val="both"/>
        <w:rPr>
          <w:rFonts w:ascii="Arial" w:hAnsi="Arial" w:eastAsia="Arial" w:cs="Arial"/>
        </w:rPr>
      </w:pPr>
      <w:r>
        <w:rPr>
          <w:rFonts w:ascii="Arial" w:hAnsi="Arial" w:eastAsia="Arial" w:cs="Arial"/>
          <w:b/>
        </w:rPr>
        <w:t xml:space="preserve">a) </w:t>
      </w:r>
      <w:r>
        <w:rPr>
          <w:rFonts w:ascii="Arial" w:hAnsi="Arial" w:eastAsia="Arial" w:cs="Arial"/>
        </w:rPr>
        <w:t xml:space="preserve">Havendo alguma restrição na comprovação da regularidade fiscal e trabalhista, será assegurado o prazo de 5 (cinco) dias úteis, cujo termo inicial corresponderá ao momento em que o proponente for declarado o vencedor do certame, pr</w:t>
      </w:r>
      <w:r>
        <w:rPr>
          <w:rFonts w:ascii="Arial" w:hAnsi="Arial" w:eastAsia="Arial" w:cs="Arial"/>
        </w:rPr>
        <w:t xml:space="preserve">orrogável por igual período, a critério da administração pública, para a regularização da documentação, pagamento ou parcelamento do débito e emissão de eventuais certidões negativas ou positivas com efeito de certidão negativa. (Art. 43, §1º LC 123/2006).</w:t>
      </w:r>
      <w:r>
        <w:rPr>
          <w:rFonts w:ascii="Arial" w:hAnsi="Arial" w:eastAsia="Arial" w:cs="Arial"/>
        </w:rPr>
      </w:r>
    </w:p>
    <w:p w14:paraId="10DC7D73"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75C557E0" w14:textId="77777777">
      <w:pPr>
        <w:pBdr/>
        <w:spacing/>
        <w:ind/>
        <w:jc w:val="both"/>
        <w:rPr>
          <w:rFonts w:ascii="Arial" w:hAnsi="Arial" w:eastAsia="Arial" w:cs="Arial"/>
          <w:color w:val="000000"/>
        </w:rPr>
      </w:pPr>
      <w:r>
        <w:rPr>
          <w:rFonts w:ascii="Arial" w:hAnsi="Arial" w:eastAsia="Arial" w:cs="Arial"/>
          <w:b/>
          <w:color w:val="000000"/>
        </w:rPr>
        <w:t xml:space="preserve">b)</w:t>
      </w:r>
      <w:r>
        <w:rPr>
          <w:rFonts w:ascii="Arial" w:hAnsi="Arial" w:eastAsia="Arial" w:cs="Arial"/>
          <w:color w:val="000000"/>
        </w:rPr>
        <w:t xml:space="preserve"> A prorrogação do prazo prevista na alínea “a”, poderá ser concedida, a critério da administração pública, quando requerida pelo licitante, mediante apresentação de justificativa.</w:t>
      </w:r>
      <w:r>
        <w:rPr>
          <w:rFonts w:ascii="Arial" w:hAnsi="Arial" w:eastAsia="Arial" w:cs="Arial"/>
          <w:color w:val="000000"/>
        </w:rPr>
      </w:r>
    </w:p>
    <w:p w14:paraId="2EC927EF" w14:textId="77777777">
      <w:pPr>
        <w:pBdr/>
        <w:spacing/>
        <w:ind/>
        <w:jc w:val="both"/>
        <w:rPr>
          <w:rFonts w:ascii="Arial" w:hAnsi="Arial" w:eastAsia="Arial" w:cs="Arial"/>
          <w:color w:val="000000"/>
        </w:rPr>
      </w:pPr>
      <w:r>
        <w:rPr>
          <w:rFonts w:ascii="Arial" w:hAnsi="Arial" w:eastAsia="Arial" w:cs="Arial"/>
          <w:color w:val="000000"/>
        </w:rPr>
      </w:r>
      <w:r>
        <w:rPr>
          <w:rFonts w:ascii="Arial" w:hAnsi="Arial" w:eastAsia="Arial" w:cs="Arial"/>
          <w:color w:val="000000"/>
        </w:rPr>
      </w:r>
    </w:p>
    <w:p w14:paraId="760DC387" w14:textId="77777777">
      <w:pPr>
        <w:pBdr/>
        <w:spacing/>
        <w:ind/>
        <w:jc w:val="both"/>
        <w:rPr>
          <w:rFonts w:ascii="Arial" w:hAnsi="Arial" w:eastAsia="Arial" w:cs="Arial"/>
          <w:color w:val="000000"/>
        </w:rPr>
      </w:pPr>
      <w:r>
        <w:rPr>
          <w:rFonts w:ascii="Arial" w:hAnsi="Arial" w:eastAsia="Arial" w:cs="Arial"/>
          <w:b/>
          <w:color w:val="000000"/>
        </w:rPr>
        <w:t xml:space="preserve">c)</w:t>
      </w:r>
      <w:r>
        <w:rPr>
          <w:rFonts w:ascii="Arial" w:hAnsi="Arial" w:eastAsia="Arial" w:cs="Arial"/>
          <w:color w:val="000000"/>
        </w:rPr>
        <w:t xml:space="preserve"> A não regularização da documentação no prazo previsto na alínea “a”, i</w:t>
      </w:r>
      <w:r>
        <w:rPr>
          <w:rFonts w:ascii="Arial" w:hAnsi="Arial" w:eastAsia="Arial" w:cs="Arial"/>
          <w:color w:val="000000"/>
        </w:rPr>
        <w:t xml:space="preserve">mplicará na decadência do direito à contratação, sem prejuízo das sanções previstas em Lei, sendo facultado à Administração convocar para nova sessão pública os licitantes remanescentes, na ordem de classificação, para contratação, ou revogar a licitação. </w:t>
      </w:r>
      <w:r>
        <w:rPr>
          <w:rFonts w:ascii="Arial" w:hAnsi="Arial" w:eastAsia="Arial" w:cs="Arial"/>
          <w:color w:val="000000"/>
        </w:rPr>
      </w:r>
    </w:p>
    <w:p w14:paraId="09130BBB" w14:textId="77777777">
      <w:pPr>
        <w:pBdr/>
        <w:spacing/>
        <w:ind/>
        <w:jc w:val="both"/>
        <w:rPr>
          <w:rFonts w:ascii="Arial" w:hAnsi="Arial" w:eastAsia="Arial" w:cs="Arial"/>
          <w:color w:val="000000"/>
        </w:rPr>
      </w:pPr>
      <w:r>
        <w:rPr>
          <w:rFonts w:ascii="Arial" w:hAnsi="Arial" w:eastAsia="Arial" w:cs="Arial"/>
          <w:color w:val="000000"/>
        </w:rPr>
      </w:r>
      <w:r>
        <w:rPr>
          <w:rFonts w:ascii="Arial" w:hAnsi="Arial" w:eastAsia="Arial" w:cs="Arial"/>
          <w:color w:val="000000"/>
        </w:rPr>
      </w:r>
    </w:p>
    <w:p w14:paraId="3AB5B7D0" w14:textId="77777777">
      <w:pPr>
        <w:pBdr/>
        <w:spacing/>
        <w:ind/>
        <w:jc w:val="both"/>
        <w:rPr>
          <w:rFonts w:ascii="Arial" w:hAnsi="Arial" w:eastAsia="Arial" w:cs="Arial"/>
          <w:b/>
          <w:color w:val="000000"/>
        </w:rPr>
      </w:pPr>
      <w:r>
        <w:rPr>
          <w:rFonts w:ascii="Arial" w:hAnsi="Arial" w:eastAsia="Arial" w:cs="Arial"/>
          <w:b/>
          <w:color w:val="000000"/>
        </w:rPr>
        <w:t xml:space="preserve">13.6. QUALIFICAÇÃO TÉCNICA:</w:t>
      </w:r>
      <w:r>
        <w:rPr>
          <w:rFonts w:ascii="Arial" w:hAnsi="Arial" w:eastAsia="Arial" w:cs="Arial"/>
          <w:b/>
          <w:color w:val="000000"/>
        </w:rPr>
      </w:r>
    </w:p>
    <w:p w14:paraId="685966D9" w14:textId="77777777">
      <w:pPr>
        <w:pBdr/>
        <w:spacing/>
        <w:ind/>
        <w:jc w:val="both"/>
        <w:rPr>
          <w:rFonts w:ascii="Arial" w:hAnsi="Arial" w:eastAsia="Arial" w:cs="Arial"/>
          <w:b/>
          <w:color w:val="000000"/>
        </w:rPr>
      </w:pPr>
      <w:r>
        <w:rPr>
          <w:rFonts w:ascii="Arial" w:hAnsi="Arial" w:eastAsia="Arial" w:cs="Arial"/>
          <w:b/>
          <w:color w:val="000000"/>
        </w:rPr>
      </w:r>
      <w:r>
        <w:rPr>
          <w:rFonts w:ascii="Arial" w:hAnsi="Arial" w:eastAsia="Arial" w:cs="Arial"/>
          <w:b/>
          <w:color w:val="000000"/>
        </w:rPr>
      </w:r>
    </w:p>
    <w:p w14:paraId="48CB8D31" w14:textId="77777777">
      <w:pPr>
        <w:pBdr/>
        <w:spacing/>
        <w:ind/>
        <w:jc w:val="both"/>
        <w:rPr>
          <w:rFonts w:ascii="Arial" w:hAnsi="Arial" w:eastAsia="Arial" w:cs="Arial"/>
          <w:b/>
          <w:color w:val="000000"/>
        </w:rPr>
      </w:pPr>
      <w:r>
        <w:rPr>
          <w:rFonts w:ascii="Arial" w:hAnsi="Arial" w:cs="Arial"/>
          <w:b/>
        </w:rPr>
        <w:t xml:space="preserve">13.6.1</w:t>
      </w:r>
      <w:r>
        <w:rPr>
          <w:rFonts w:ascii="Arial" w:hAnsi="Arial" w:cs="Arial"/>
        </w:rPr>
        <w:t xml:space="preserve">.</w:t>
      </w:r>
      <w:r>
        <w:t xml:space="preserve"> </w:t>
      </w:r>
      <w:r>
        <w:rPr>
          <w:rFonts w:ascii="Arial" w:hAnsi="Arial" w:eastAsia="Arial" w:cs="Arial"/>
        </w:rPr>
        <w:t xml:space="preserve">Com a finalidade de evitar duplicidade de informações, toda a documentação relativa à qualificação técnica exigida ficará devidamente detalhada no </w:t>
      </w:r>
      <w:r>
        <w:rPr>
          <w:rFonts w:ascii="Arial" w:hAnsi="Arial" w:eastAsia="Arial" w:cs="Arial"/>
          <w:b/>
        </w:rPr>
        <w:t xml:space="preserve">Termo de Referência, que integra o presente edital como anexo</w:t>
      </w:r>
      <w:r>
        <w:rPr>
          <w:rFonts w:ascii="Arial" w:hAnsi="Arial" w:eastAsia="Arial" w:cs="Arial"/>
        </w:rPr>
        <w:t xml:space="preserve">, contemplando de forma clara e objetiva todas as informações, requisitos e exigências necessários ao atendimento das condições de habilitação.</w:t>
      </w:r>
      <w:r>
        <w:rPr>
          <w:rFonts w:ascii="Arial" w:hAnsi="Arial" w:eastAsia="Arial" w:cs="Arial"/>
          <w:b/>
          <w:color w:val="000000"/>
        </w:rPr>
      </w:r>
    </w:p>
    <w:p w14:paraId="43F45C07" w14:textId="77777777">
      <w:pPr>
        <w:pBdr/>
        <w:spacing/>
        <w:ind/>
        <w:jc w:val="both"/>
        <w:rPr>
          <w:rFonts w:ascii="Arial" w:hAnsi="Arial" w:eastAsia="Arial" w:cs="Arial"/>
          <w:b/>
          <w:color w:val="000000"/>
        </w:rPr>
      </w:pPr>
      <w:r>
        <w:rPr>
          <w:rFonts w:ascii="Arial" w:hAnsi="Arial" w:eastAsia="Arial" w:cs="Arial"/>
          <w:b/>
          <w:color w:val="000000"/>
        </w:rPr>
      </w:r>
      <w:r>
        <w:rPr>
          <w:rFonts w:ascii="Arial" w:hAnsi="Arial" w:eastAsia="Arial" w:cs="Arial"/>
          <w:b/>
          <w:color w:val="000000"/>
        </w:rPr>
      </w:r>
    </w:p>
    <w:p w14:paraId="107B6079" w14:textId="77777777">
      <w:pPr>
        <w:pBdr/>
        <w:spacing/>
        <w:ind/>
        <w:jc w:val="both"/>
        <w:rPr>
          <w:rFonts w:ascii="Arial" w:hAnsi="Arial" w:eastAsia="Arial" w:cs="Arial"/>
          <w:b/>
          <w:color w:val="000000"/>
        </w:rPr>
      </w:pPr>
      <w:r>
        <w:rPr>
          <w:rFonts w:ascii="Arial" w:hAnsi="Arial" w:eastAsia="Arial" w:cs="Arial"/>
          <w:b/>
          <w:color w:val="000000"/>
        </w:rPr>
        <w:t xml:space="preserve">DAS COMPROVAÇÕES COMPLEMENTARES ESPECIAIS:</w:t>
      </w:r>
      <w:r>
        <w:rPr>
          <w:rFonts w:ascii="Arial" w:hAnsi="Arial" w:eastAsia="Arial" w:cs="Arial"/>
          <w:b/>
          <w:color w:val="000000"/>
        </w:rPr>
      </w:r>
    </w:p>
    <w:p w14:paraId="6830B2F5" w14:textId="77777777">
      <w:pPr>
        <w:pBdr/>
        <w:spacing/>
        <w:ind/>
        <w:jc w:val="both"/>
        <w:rPr>
          <w:rFonts w:ascii="Arial" w:hAnsi="Arial" w:eastAsia="Arial" w:cs="Arial"/>
          <w:b/>
          <w:color w:val="000000"/>
          <w:u w:val="single"/>
        </w:rPr>
      </w:pPr>
      <w:r>
        <w:rPr>
          <w:rFonts w:ascii="Arial" w:hAnsi="Arial" w:eastAsia="Arial" w:cs="Arial"/>
          <w:b/>
          <w:color w:val="000000"/>
        </w:rPr>
        <w:br/>
      </w:r>
      <w:r>
        <w:rPr>
          <w:rFonts w:ascii="Arial" w:hAnsi="Arial" w:eastAsia="Arial" w:cs="Arial"/>
          <w:b/>
          <w:color w:val="000000"/>
        </w:rPr>
        <w:t xml:space="preserve">13.6.2. O LICITANTE DEVERÁ DECLARAR, QUE:</w:t>
      </w:r>
      <w:r>
        <w:rPr>
          <w:rFonts w:ascii="Arial" w:hAnsi="Arial" w:eastAsia="Arial" w:cs="Arial"/>
          <w:b/>
          <w:color w:val="000000"/>
          <w:u w:val="single"/>
        </w:rPr>
      </w:r>
    </w:p>
    <w:p w14:paraId="2F4E5944" w14:textId="77777777">
      <w:pPr>
        <w:pBdr/>
        <w:spacing/>
        <w:ind/>
        <w:jc w:val="both"/>
        <w:rPr>
          <w:rFonts w:ascii="Arial" w:hAnsi="Arial" w:eastAsia="Arial" w:cs="Arial"/>
          <w:color w:val="000000"/>
        </w:rPr>
      </w:pPr>
      <w:r>
        <w:rPr>
          <w:rFonts w:ascii="Arial" w:hAnsi="Arial" w:eastAsia="Arial" w:cs="Arial"/>
          <w:color w:val="000000"/>
        </w:rPr>
      </w:r>
      <w:r>
        <w:rPr>
          <w:rFonts w:ascii="Arial" w:hAnsi="Arial" w:eastAsia="Arial" w:cs="Arial"/>
          <w:color w:val="000000"/>
        </w:rPr>
      </w:r>
    </w:p>
    <w:p w14:paraId="6BC34DA2" w14:textId="77777777">
      <w:pPr>
        <w:pBdr/>
        <w:spacing/>
        <w:ind/>
        <w:jc w:val="both"/>
        <w:rPr>
          <w:rFonts w:ascii="Arial" w:hAnsi="Arial" w:eastAsia="Arial" w:cs="Arial"/>
          <w:color w:val="000000"/>
        </w:rPr>
      </w:pPr>
      <w:r>
        <w:rPr>
          <w:rFonts w:ascii="Arial" w:hAnsi="Arial" w:eastAsia="Arial" w:cs="Arial"/>
          <w:b/>
          <w:color w:val="000000"/>
        </w:rPr>
        <w:t xml:space="preserve">13.6.2.1.</w:t>
      </w:r>
      <w:r>
        <w:rPr>
          <w:rFonts w:ascii="Arial" w:hAnsi="Arial" w:eastAsia="Arial" w:cs="Arial"/>
          <w:color w:val="000000"/>
        </w:rPr>
        <w:t xml:space="preserve"> Está ciente e concorda com as condições contidas no edital e seus anexos, bem como de que a proposta apresentada compreende a integralidade dos custos para atendimento dos direitos trabalhistas assegurados na Constituição Federal, nas l</w:t>
      </w:r>
      <w:r>
        <w:rPr>
          <w:rFonts w:ascii="Arial" w:hAnsi="Arial" w:eastAsia="Arial" w:cs="Arial"/>
          <w:color w:val="000000"/>
        </w:rPr>
        <w:t xml:space="preserve">eis trabalhistas, nas normas infra legais, nas convenções coletivas de trabalho e nos termos de ajustamento de conduta vigentes na data de sua entrega em definitivo e que cumpre plenamente os requisitos de habilitação definidos no instrumento convocatório;</w:t>
      </w:r>
      <w:r>
        <w:rPr>
          <w:rFonts w:ascii="Arial" w:hAnsi="Arial" w:eastAsia="Arial" w:cs="Arial"/>
          <w:color w:val="000000"/>
        </w:rPr>
      </w:r>
    </w:p>
    <w:p w14:paraId="3E862814" w14:textId="77777777">
      <w:pPr>
        <w:pBdr/>
        <w:spacing/>
        <w:ind/>
        <w:jc w:val="both"/>
        <w:rPr>
          <w:rFonts w:ascii="Arial" w:hAnsi="Arial" w:eastAsia="Arial" w:cs="Arial"/>
          <w:b/>
          <w:color w:val="000000"/>
        </w:rPr>
      </w:pPr>
      <w:r>
        <w:rPr>
          <w:rFonts w:ascii="Arial" w:hAnsi="Arial" w:eastAsia="Arial" w:cs="Arial"/>
          <w:b/>
          <w:color w:val="000000"/>
        </w:rPr>
      </w:r>
      <w:r>
        <w:rPr>
          <w:rFonts w:ascii="Arial" w:hAnsi="Arial" w:eastAsia="Arial" w:cs="Arial"/>
          <w:b/>
          <w:color w:val="000000"/>
        </w:rPr>
      </w:r>
    </w:p>
    <w:p w14:paraId="3BBC5438" w14:textId="77777777">
      <w:pPr>
        <w:pBdr/>
        <w:spacing/>
        <w:ind/>
        <w:jc w:val="both"/>
        <w:rPr>
          <w:rFonts w:ascii="Arial" w:hAnsi="Arial" w:eastAsia="Arial" w:cs="Arial"/>
          <w:color w:val="000000"/>
        </w:rPr>
      </w:pPr>
      <w:r>
        <w:rPr>
          <w:rFonts w:ascii="Arial" w:hAnsi="Arial" w:eastAsia="Arial" w:cs="Arial"/>
          <w:b/>
          <w:color w:val="000000"/>
        </w:rPr>
        <w:t xml:space="preserve">13.6.2.2.</w:t>
      </w:r>
      <w:r>
        <w:rPr>
          <w:rFonts w:ascii="Arial" w:hAnsi="Arial" w:eastAsia="Arial" w:cs="Arial"/>
          <w:color w:val="000000"/>
        </w:rPr>
        <w:t xml:space="preserve"> Não emprega menor de 18 anos em trabalho noturno, perigoso ou insalubre e não emprega menor de 16 anos, em qualquer trabalho, salvo menor, a partir de 14 anos, na condição de aprendiz, nos termos do </w:t>
      </w:r>
      <w:hyperlink r:id="rId22" w:tooltip="https://www.planalto.gov.br/ccivil_03/constituicao/constituicaocompilado.htm#art7" w:anchor="art7" w:history="1">
        <w:r>
          <w:rPr>
            <w:rFonts w:ascii="Arial" w:hAnsi="Arial" w:eastAsia="Arial" w:cs="Arial"/>
            <w:color w:val="000000"/>
          </w:rPr>
          <w:t xml:space="preserve">artigo 7°, XXXIII da Constituição</w:t>
        </w:r>
      </w:hyperlink>
      <w:r>
        <w:rPr>
          <w:rFonts w:ascii="Arial" w:hAnsi="Arial" w:eastAsia="Arial" w:cs="Arial"/>
          <w:color w:val="000000"/>
        </w:rPr>
        <w:t xml:space="preserve"> Federal, </w:t>
      </w:r>
      <w:r>
        <w:rPr>
          <w:rFonts w:ascii="Arial" w:hAnsi="Arial" w:eastAsia="Arial" w:cs="Arial"/>
        </w:rPr>
        <w:t xml:space="preserve">bem como, no </w:t>
      </w:r>
      <w:r>
        <w:rPr>
          <w:rFonts w:ascii="Arial" w:hAnsi="Arial" w:eastAsia="Arial" w:cs="Arial"/>
          <w:color w:val="000000"/>
        </w:rPr>
        <w:t xml:space="preserve">artigo 68, inciso VI, da Lei nº 14.133/2021;</w:t>
      </w:r>
      <w:r>
        <w:rPr>
          <w:rFonts w:ascii="Arial" w:hAnsi="Arial" w:eastAsia="Arial" w:cs="Arial"/>
          <w:color w:val="000000"/>
        </w:rPr>
      </w:r>
    </w:p>
    <w:p w14:paraId="42F7B0BA" w14:textId="77777777">
      <w:pPr>
        <w:pBdr/>
        <w:spacing/>
        <w:ind/>
        <w:jc w:val="both"/>
        <w:rPr>
          <w:rFonts w:ascii="Arial" w:hAnsi="Arial" w:eastAsia="Arial" w:cs="Arial"/>
          <w:color w:val="000000"/>
        </w:rPr>
      </w:pPr>
      <w:r>
        <w:rPr>
          <w:rFonts w:ascii="Arial" w:hAnsi="Arial" w:eastAsia="Arial" w:cs="Arial"/>
          <w:color w:val="000000"/>
        </w:rPr>
      </w:r>
      <w:r>
        <w:rPr>
          <w:rFonts w:ascii="Arial" w:hAnsi="Arial" w:eastAsia="Arial" w:cs="Arial"/>
          <w:color w:val="000000"/>
        </w:rPr>
      </w:r>
    </w:p>
    <w:p w14:paraId="334394E1" w14:textId="77777777">
      <w:pPr>
        <w:pBdr/>
        <w:spacing/>
        <w:ind/>
        <w:jc w:val="both"/>
        <w:rPr>
          <w:rFonts w:ascii="Arial" w:hAnsi="Arial" w:eastAsia="Arial" w:cs="Arial"/>
          <w:color w:val="000000"/>
        </w:rPr>
      </w:pPr>
      <w:r>
        <w:rPr>
          <w:rFonts w:ascii="Arial" w:hAnsi="Arial" w:eastAsia="Arial" w:cs="Arial"/>
          <w:b/>
          <w:color w:val="000000"/>
        </w:rPr>
        <w:t xml:space="preserve">13.6.2.3.</w:t>
      </w:r>
      <w:r>
        <w:rPr>
          <w:rFonts w:ascii="Arial" w:hAnsi="Arial" w:eastAsia="Arial" w:cs="Arial"/>
          <w:color w:val="000000"/>
        </w:rPr>
        <w:t xml:space="preserve"> Não possui empregados executando trabalho degradante ou forçado, observando o disposto nos </w:t>
      </w:r>
      <w:hyperlink r:id="rId23" w:tooltip="https://www.planalto.gov.br/ccivil_03/constituicao/constituicaocompilado.htm" w:history="1">
        <w:r>
          <w:rPr>
            <w:rFonts w:ascii="Arial" w:hAnsi="Arial" w:eastAsia="Arial" w:cs="Arial"/>
            <w:color w:val="000000"/>
          </w:rPr>
          <w:t xml:space="preserve">incisos III e IV do art. 1º e no inciso III do art. 5º da Constituição Federal</w:t>
        </w:r>
      </w:hyperlink>
      <w:r>
        <w:rPr>
          <w:rFonts w:ascii="Arial" w:hAnsi="Arial" w:eastAsia="Arial" w:cs="Arial"/>
          <w:color w:val="000000"/>
        </w:rPr>
        <w:t xml:space="preserve">, </w:t>
      </w:r>
      <w:r>
        <w:rPr>
          <w:rFonts w:ascii="Arial" w:hAnsi="Arial" w:eastAsia="Arial" w:cs="Arial"/>
        </w:rPr>
        <w:t xml:space="preserve">bem como no art. 14, inciso VI da Lei nº 14.133/2021.</w:t>
      </w:r>
      <w:r>
        <w:rPr>
          <w:rFonts w:ascii="Arial" w:hAnsi="Arial" w:eastAsia="Arial" w:cs="Arial"/>
          <w:color w:val="000000"/>
        </w:rPr>
      </w:r>
    </w:p>
    <w:p w14:paraId="42B35640" w14:textId="77777777">
      <w:pPr>
        <w:pBdr/>
        <w:spacing/>
        <w:ind/>
        <w:jc w:val="both"/>
        <w:rPr>
          <w:color w:val="000000"/>
        </w:rPr>
      </w:pPr>
      <w:r>
        <w:rPr>
          <w:color w:val="000000"/>
        </w:rPr>
      </w:r>
      <w:r>
        <w:rPr>
          <w:color w:val="000000"/>
        </w:rPr>
      </w:r>
    </w:p>
    <w:p w14:paraId="7500BF45" w14:textId="77777777">
      <w:pPr>
        <w:pBdr/>
        <w:spacing/>
        <w:ind/>
        <w:jc w:val="both"/>
        <w:rPr>
          <w:rFonts w:ascii="Arial" w:hAnsi="Arial" w:eastAsia="Arial" w:cs="Arial"/>
          <w:color w:val="000000"/>
        </w:rPr>
      </w:pPr>
      <w:r>
        <w:rPr>
          <w:rFonts w:ascii="Arial" w:hAnsi="Arial" w:eastAsia="Arial" w:cs="Arial"/>
          <w:b/>
          <w:color w:val="000000"/>
        </w:rPr>
        <w:t xml:space="preserve">13.6.2.4.</w:t>
      </w:r>
      <w:r>
        <w:rPr>
          <w:rFonts w:ascii="Arial" w:hAnsi="Arial" w:eastAsia="Arial" w:cs="Arial"/>
          <w:color w:val="000000"/>
        </w:rPr>
        <w:t xml:space="preserve"> Cumpre as exigências de reserva de cargos para pessoa com deficiência e para reabilitado da Previdência Social, previstas em lei e em outras normas específicas;</w:t>
      </w:r>
      <w:r>
        <w:rPr>
          <w:rFonts w:ascii="Arial" w:hAnsi="Arial" w:eastAsia="Arial" w:cs="Arial"/>
          <w:color w:val="000000"/>
        </w:rPr>
      </w:r>
    </w:p>
    <w:p w14:paraId="38B6BB18" w14:textId="77777777">
      <w:pPr>
        <w:pBdr/>
        <w:spacing/>
        <w:ind/>
        <w:jc w:val="both"/>
        <w:rPr>
          <w:rFonts w:ascii="Arial" w:hAnsi="Arial" w:eastAsia="Arial" w:cs="Arial"/>
          <w:color w:val="000000"/>
        </w:rPr>
      </w:pPr>
      <w:r>
        <w:rPr>
          <w:rFonts w:ascii="Arial" w:hAnsi="Arial" w:eastAsia="Arial" w:cs="Arial"/>
          <w:color w:val="000000"/>
        </w:rPr>
      </w:r>
      <w:r>
        <w:rPr>
          <w:rFonts w:ascii="Arial" w:hAnsi="Arial" w:eastAsia="Arial" w:cs="Arial"/>
          <w:color w:val="000000"/>
        </w:rPr>
      </w:r>
    </w:p>
    <w:p w14:paraId="55345977" w14:textId="77777777">
      <w:pPr>
        <w:pBdr/>
        <w:spacing/>
        <w:ind/>
        <w:jc w:val="both"/>
        <w:rPr>
          <w:rFonts w:ascii="Arial" w:hAnsi="Arial" w:eastAsia="Arial" w:cs="Arial"/>
        </w:rPr>
      </w:pPr>
      <w:r>
        <w:rPr>
          <w:rFonts w:ascii="Arial" w:hAnsi="Arial" w:eastAsia="Arial" w:cs="Arial"/>
          <w:b/>
          <w:color w:val="000000"/>
        </w:rPr>
        <w:t xml:space="preserve">13.6.2.5.</w:t>
      </w:r>
      <w:r>
        <w:rPr>
          <w:rFonts w:ascii="Arial" w:hAnsi="Arial" w:eastAsia="Arial" w:cs="Arial"/>
          <w:color w:val="000000"/>
        </w:rPr>
        <w:t xml:space="preserve"> N</w:t>
      </w:r>
      <w:r>
        <w:rPr>
          <w:rFonts w:ascii="Arial" w:hAnsi="Arial" w:eastAsia="Arial" w:cs="Arial"/>
        </w:rPr>
        <w:t xml:space="preserve">ão possui em seu quadro de pessoal e societário, servidor público do Pode</w:t>
      </w:r>
      <w:r>
        <w:rPr>
          <w:rFonts w:ascii="Arial" w:hAnsi="Arial" w:eastAsia="Arial" w:cs="Arial"/>
        </w:rPr>
        <w:t xml:space="preserve">r Executivo Estadual exercendo funções de gerência ou administração, conforme art. 1, inciso X da Lei Complementar Estadual nº 04/1990, ou servidor do Órgão/Entidade contratante em qualquer função, nos termos do art. 9º, §1º da Lei Federal nº 14.133/2021; </w:t>
      </w:r>
      <w:r>
        <w:rPr>
          <w:rFonts w:ascii="Arial" w:hAnsi="Arial" w:eastAsia="Arial" w:cs="Arial"/>
        </w:rPr>
      </w:r>
    </w:p>
    <w:p w14:paraId="54590A96" w14:textId="77777777">
      <w:pPr>
        <w:pBdr/>
        <w:spacing/>
        <w:ind/>
        <w:jc w:val="both"/>
        <w:rPr>
          <w:rFonts w:ascii="Arial" w:hAnsi="Arial" w:eastAsia="Arial" w:cs="Arial"/>
          <w:color w:val="000000"/>
        </w:rPr>
      </w:pPr>
      <w:r>
        <w:rPr>
          <w:rFonts w:ascii="Arial" w:hAnsi="Arial" w:eastAsia="Arial" w:cs="Arial"/>
          <w:color w:val="000000"/>
        </w:rPr>
      </w:r>
      <w:r>
        <w:rPr>
          <w:rFonts w:ascii="Arial" w:hAnsi="Arial" w:eastAsia="Arial" w:cs="Arial"/>
          <w:color w:val="000000"/>
        </w:rPr>
      </w:r>
    </w:p>
    <w:p w14:paraId="76F80CF5" w14:textId="77777777">
      <w:pPr>
        <w:pBdr/>
        <w:spacing/>
        <w:ind/>
        <w:jc w:val="both"/>
        <w:rPr>
          <w:rFonts w:ascii="Arial" w:hAnsi="Arial" w:eastAsia="Arial" w:cs="Arial"/>
          <w:color w:val="000000"/>
        </w:rPr>
      </w:pPr>
      <w:r>
        <w:rPr>
          <w:rFonts w:ascii="Arial" w:hAnsi="Arial" w:eastAsia="Arial" w:cs="Arial"/>
          <w:b/>
        </w:rPr>
        <w:t xml:space="preserve">13.6.2.6.</w:t>
      </w:r>
      <w:r>
        <w:rPr>
          <w:rFonts w:ascii="Arial" w:hAnsi="Arial" w:eastAsia="Arial" w:cs="Arial"/>
        </w:rPr>
        <w:t xml:space="preserve"> O licitante enquadrado como microempresa, empresa de pequeno porte ou sociedade cooperativa deverá</w:t>
      </w:r>
      <w:r>
        <w:rPr>
          <w:rFonts w:ascii="Arial" w:hAnsi="Arial" w:eastAsia="Arial" w:cs="Arial"/>
          <w:color w:val="000000"/>
        </w:rPr>
        <w:t xml:space="preserve"> declarar, que cumpre os requisitos estabelecidos no </w:t>
      </w:r>
      <w:hyperlink r:id="rId24" w:tooltip="https://www.planalto.gov.br/ccivil_03/leis/lcp/lcp123.htm#art3" w:anchor="art3" w:history="1">
        <w:r>
          <w:rPr>
            <w:rFonts w:ascii="Arial" w:hAnsi="Arial" w:eastAsia="Arial" w:cs="Arial"/>
            <w:color w:val="000000"/>
          </w:rPr>
          <w:t xml:space="preserve">artigo 3° da Lei Complementar nº 123, de 2006</w:t>
        </w:r>
      </w:hyperlink>
      <w:r>
        <w:rPr>
          <w:rFonts w:ascii="Arial" w:hAnsi="Arial" w:eastAsia="Arial" w:cs="Arial"/>
          <w:color w:val="000000"/>
        </w:rPr>
        <w:t xml:space="preserve">, estando apto a usufruir do tratamento favorecido estabelecido em seus </w:t>
      </w:r>
      <w:hyperlink r:id="rId25" w:tooltip="https://www.planalto.gov.br/ccivil_03/leis/lcp/lcp123.htm#art42" w:anchor="art42" w:history="1">
        <w:r>
          <w:rPr>
            <w:rFonts w:ascii="Arial" w:hAnsi="Arial" w:eastAsia="Arial" w:cs="Arial"/>
            <w:color w:val="000000"/>
          </w:rPr>
          <w:t xml:space="preserve">arts. 42 a 49</w:t>
        </w:r>
      </w:hyperlink>
      <w:r>
        <w:rPr>
          <w:rFonts w:ascii="Arial" w:hAnsi="Arial" w:eastAsia="Arial" w:cs="Arial"/>
          <w:color w:val="000000"/>
        </w:rPr>
        <w:t xml:space="preserve">, observado o disposto nos </w:t>
      </w:r>
      <w:hyperlink r:id="rId26" w:tooltip="http://www.planalto.gov.br/ccivil_03/_ato2019-2022/2021/lei/L14133.htm#art4§1" w:anchor="art4§1" w:history="1">
        <w:r>
          <w:rPr>
            <w:rFonts w:ascii="Arial" w:hAnsi="Arial" w:eastAsia="Arial" w:cs="Arial"/>
            <w:color w:val="000000"/>
          </w:rPr>
          <w:t xml:space="preserve">§§ 1º ao 3º do art. 4º, da Lei n.º 14.133, de 2021;</w:t>
        </w:r>
      </w:hyperlink>
      <w:r/>
      <w:r>
        <w:rPr>
          <w:rFonts w:ascii="Arial" w:hAnsi="Arial" w:eastAsia="Arial" w:cs="Arial"/>
          <w:color w:val="000000"/>
        </w:rPr>
      </w:r>
    </w:p>
    <w:p w14:paraId="2516057F" w14:textId="77777777">
      <w:pPr>
        <w:pBdr/>
        <w:spacing/>
        <w:ind/>
        <w:jc w:val="both"/>
        <w:rPr>
          <w:rFonts w:ascii="Arial" w:hAnsi="Arial" w:eastAsia="Arial" w:cs="Arial"/>
          <w:b/>
          <w:color w:val="000000"/>
        </w:rPr>
      </w:pPr>
      <w:r>
        <w:rPr>
          <w:rFonts w:ascii="Arial" w:hAnsi="Arial" w:eastAsia="Arial" w:cs="Arial"/>
          <w:b/>
          <w:color w:val="000000"/>
        </w:rPr>
      </w:r>
      <w:r>
        <w:rPr>
          <w:rFonts w:ascii="Arial" w:hAnsi="Arial" w:eastAsia="Arial" w:cs="Arial"/>
          <w:b/>
          <w:color w:val="000000"/>
        </w:rPr>
      </w:r>
    </w:p>
    <w:p w14:paraId="58DDA197" w14:textId="77777777">
      <w:pPr>
        <w:pBdr/>
        <w:spacing/>
        <w:ind/>
        <w:jc w:val="both"/>
        <w:rPr>
          <w:rFonts w:ascii="Arial" w:hAnsi="Arial" w:eastAsia="Arial" w:cs="Arial"/>
          <w:color w:val="000000"/>
        </w:rPr>
      </w:pPr>
      <w:r>
        <w:rPr>
          <w:rFonts w:ascii="Arial" w:hAnsi="Arial" w:eastAsia="Arial" w:cs="Arial"/>
          <w:b/>
          <w:color w:val="000000"/>
        </w:rPr>
        <w:t xml:space="preserve">13.6.2.7.</w:t>
      </w:r>
      <w:r>
        <w:rPr>
          <w:rFonts w:ascii="Arial" w:hAnsi="Arial" w:eastAsia="Arial" w:cs="Arial"/>
          <w:color w:val="000000"/>
        </w:rPr>
        <w:t xml:space="preserve"> O licitante organizado em cooperativa deverá declarar, ainda que, cumpre os requisitos estabelecidos no </w:t>
      </w:r>
      <w:hyperlink r:id="rId27" w:tooltip="http://www.planalto.gov.br/ccivil_03/_ato2019-2022/2021/lei/L14133.htm#art16" w:anchor="art16" w:history="1">
        <w:r>
          <w:rPr>
            <w:rFonts w:ascii="Arial" w:hAnsi="Arial" w:eastAsia="Arial" w:cs="Arial"/>
            <w:color w:val="000000"/>
          </w:rPr>
          <w:t xml:space="preserve">artigo 16 da Lei nº 14.133, de 2021</w:t>
        </w:r>
      </w:hyperlink>
      <w:r>
        <w:rPr>
          <w:rFonts w:ascii="Arial" w:hAnsi="Arial" w:eastAsia="Arial" w:cs="Arial"/>
          <w:color w:val="000000"/>
        </w:rPr>
        <w:t xml:space="preserve">;</w:t>
      </w:r>
      <w:r>
        <w:rPr>
          <w:rFonts w:ascii="Arial" w:hAnsi="Arial" w:eastAsia="Arial" w:cs="Arial"/>
          <w:color w:val="000000"/>
        </w:rPr>
      </w:r>
    </w:p>
    <w:p w14:paraId="498D107F" w14:textId="77777777">
      <w:pPr>
        <w:pBdr/>
        <w:spacing/>
        <w:ind/>
        <w:jc w:val="both"/>
        <w:rPr>
          <w:rFonts w:ascii="Arial" w:hAnsi="Arial" w:eastAsia="Arial" w:cs="Arial"/>
          <w:color w:val="000000"/>
        </w:rPr>
      </w:pPr>
      <w:r>
        <w:rPr>
          <w:rFonts w:ascii="Arial" w:hAnsi="Arial" w:eastAsia="Arial" w:cs="Arial"/>
          <w:color w:val="000000"/>
        </w:rPr>
      </w:r>
      <w:r>
        <w:rPr>
          <w:rFonts w:ascii="Arial" w:hAnsi="Arial" w:eastAsia="Arial" w:cs="Arial"/>
          <w:color w:val="000000"/>
        </w:rPr>
      </w:r>
    </w:p>
    <w:p w14:paraId="43BEAE87" w14:textId="77777777">
      <w:pPr>
        <w:pBdr/>
        <w:spacing/>
        <w:ind/>
        <w:jc w:val="both"/>
        <w:rPr>
          <w:rFonts w:ascii="Arial" w:hAnsi="Arial" w:eastAsia="Arial" w:cs="Arial"/>
          <w:color w:val="000000"/>
        </w:rPr>
      </w:pPr>
      <w:r>
        <w:rPr>
          <w:rFonts w:ascii="Arial" w:hAnsi="Arial" w:eastAsia="Arial" w:cs="Arial"/>
          <w:b/>
          <w:color w:val="000000"/>
        </w:rPr>
        <w:t xml:space="preserve">13.6.2.8. </w:t>
      </w:r>
      <w:r>
        <w:rPr>
          <w:rFonts w:ascii="Arial" w:hAnsi="Arial" w:eastAsia="Arial" w:cs="Arial"/>
          <w:color w:val="000000"/>
        </w:rPr>
        <w:t xml:space="preserve">Que não há sanções vigentes que legalmente proíbam a participante de licitar e/ou contratar com o Órgão/Entidade contratante;</w:t>
      </w:r>
      <w:r>
        <w:rPr>
          <w:rFonts w:ascii="Arial" w:hAnsi="Arial" w:eastAsia="Arial" w:cs="Arial"/>
          <w:color w:val="000000"/>
        </w:rPr>
      </w:r>
    </w:p>
    <w:p w14:paraId="053A5B72" w14:textId="77777777">
      <w:pPr>
        <w:pBdr/>
        <w:spacing/>
        <w:ind/>
        <w:jc w:val="both"/>
        <w:rPr>
          <w:rFonts w:ascii="Arial" w:hAnsi="Arial" w:eastAsia="Arial" w:cs="Arial"/>
          <w:color w:val="000000"/>
        </w:rPr>
      </w:pPr>
      <w:r>
        <w:rPr>
          <w:rFonts w:ascii="Arial" w:hAnsi="Arial" w:eastAsia="Arial" w:cs="Arial"/>
          <w:color w:val="000000"/>
        </w:rPr>
      </w:r>
      <w:r>
        <w:rPr>
          <w:rFonts w:ascii="Arial" w:hAnsi="Arial" w:eastAsia="Arial" w:cs="Arial"/>
          <w:color w:val="000000"/>
        </w:rPr>
      </w:r>
    </w:p>
    <w:p w14:paraId="2AD2D532" w14:textId="77777777">
      <w:pPr>
        <w:pBdr/>
        <w:spacing/>
        <w:ind/>
        <w:jc w:val="both"/>
        <w:rPr>
          <w:rFonts w:ascii="Arial" w:hAnsi="Arial" w:eastAsia="Arial" w:cs="Arial"/>
          <w:color w:val="000000"/>
        </w:rPr>
      </w:pPr>
      <w:r>
        <w:rPr>
          <w:rFonts w:ascii="Arial" w:hAnsi="Arial" w:eastAsia="Arial" w:cs="Arial"/>
          <w:b/>
          <w:color w:val="000000"/>
        </w:rPr>
        <w:t xml:space="preserve">13.6.2.9.</w:t>
      </w:r>
      <w:r>
        <w:rPr>
          <w:rFonts w:ascii="Arial" w:hAnsi="Arial" w:eastAsia="Arial" w:cs="Arial"/>
          <w:color w:val="000000"/>
        </w:rPr>
        <w:t xml:space="preserve"> O declarante </w:t>
      </w:r>
      <w:r>
        <w:rPr>
          <w:rFonts w:ascii="Arial" w:hAnsi="Arial" w:eastAsia="Arial" w:cs="Arial"/>
        </w:rPr>
        <w:t xml:space="preserve">responderá</w:t>
      </w:r>
      <w:r>
        <w:rPr>
          <w:rFonts w:ascii="Arial" w:hAnsi="Arial" w:eastAsia="Arial" w:cs="Arial"/>
          <w:color w:val="000000"/>
        </w:rPr>
        <w:t xml:space="preserve"> pela </w:t>
      </w:r>
      <w:r>
        <w:rPr>
          <w:rFonts w:ascii="Arial" w:hAnsi="Arial" w:eastAsia="Arial" w:cs="Arial"/>
        </w:rPr>
        <w:t xml:space="preserve">veracidade</w:t>
      </w:r>
      <w:r>
        <w:rPr>
          <w:rFonts w:ascii="Arial" w:hAnsi="Arial" w:eastAsia="Arial" w:cs="Arial"/>
          <w:color w:val="000000"/>
        </w:rPr>
        <w:t xml:space="preserve"> das informações prestadas, sujeitando-se às sanções previstas na forma da lei, e neste Edital.</w:t>
      </w:r>
      <w:r>
        <w:rPr>
          <w:rFonts w:ascii="Arial" w:hAnsi="Arial" w:eastAsia="Arial" w:cs="Arial"/>
          <w:color w:val="000000"/>
        </w:rPr>
      </w:r>
    </w:p>
    <w:p w14:paraId="75499C27" w14:textId="77777777">
      <w:pPr>
        <w:pBdr/>
        <w:spacing/>
        <w:ind/>
        <w:jc w:val="both"/>
        <w:rPr>
          <w:rFonts w:ascii="Arial" w:hAnsi="Arial" w:eastAsia="Arial" w:cs="Arial"/>
          <w:color w:val="000000"/>
        </w:rPr>
      </w:pPr>
      <w:r>
        <w:rPr>
          <w:rFonts w:ascii="Arial" w:hAnsi="Arial" w:eastAsia="Arial" w:cs="Arial"/>
          <w:color w:val="000000"/>
        </w:rPr>
      </w:r>
      <w:r>
        <w:rPr>
          <w:rFonts w:ascii="Arial" w:hAnsi="Arial" w:eastAsia="Arial" w:cs="Arial"/>
          <w:color w:val="000000"/>
        </w:rPr>
      </w:r>
    </w:p>
    <w:p w14:paraId="23F87ED4" w14:textId="77777777">
      <w:pPr>
        <w:pBdr/>
        <w:spacing/>
        <w:ind/>
        <w:jc w:val="both"/>
        <w:rPr/>
      </w:pPr>
      <w:r>
        <w:rPr>
          <w:rFonts w:ascii="Arial" w:hAnsi="Arial" w:eastAsia="Arial" w:cs="Arial"/>
          <w:b/>
          <w:color w:val="000000"/>
        </w:rPr>
        <w:t xml:space="preserve">NOTA: </w:t>
      </w:r>
      <w:r>
        <w:rPr>
          <w:rFonts w:ascii="Arial" w:hAnsi="Arial" w:eastAsia="Arial" w:cs="Arial"/>
        </w:rPr>
        <w:t xml:space="preserve">AS COMPROVAÇÕES</w:t>
      </w:r>
      <w:r>
        <w:rPr>
          <w:rFonts w:ascii="Arial" w:hAnsi="Arial" w:eastAsia="Arial" w:cs="Arial"/>
          <w:b/>
          <w:color w:val="000000"/>
          <w:u w:val="single"/>
        </w:rPr>
        <w:t xml:space="preserve"> CONTIDAS NO ITEM 13.6.2. A CRITÉRIO DO LICITANTE PODERÃO SEREM APRESENTADAS EM UMA ÚNICA FOLHA, CONFORME MODELO SUGERIDO NO ANEXO V</w:t>
      </w:r>
      <w:r>
        <w:rPr>
          <w:rFonts w:ascii="Arial" w:hAnsi="Arial" w:eastAsia="Arial" w:cs="Arial"/>
          <w:b/>
          <w:color w:val="000000"/>
        </w:rPr>
        <w:t xml:space="preserve">.</w:t>
      </w:r>
      <w:r/>
    </w:p>
    <w:p w14:paraId="0F264BD5" w14:textId="77777777">
      <w:pPr>
        <w:pBdr/>
        <w:spacing/>
        <w:ind/>
        <w:jc w:val="both"/>
        <w:rPr>
          <w:rFonts w:ascii="Arial" w:hAnsi="Arial" w:eastAsia="Arial" w:cs="Arial"/>
          <w:color w:val="000000"/>
        </w:rPr>
      </w:pPr>
      <w:r>
        <w:rPr>
          <w:rFonts w:ascii="Arial" w:hAnsi="Arial" w:eastAsia="Arial" w:cs="Arial"/>
          <w:color w:val="000000"/>
        </w:rPr>
      </w:r>
      <w:r>
        <w:rPr>
          <w:rFonts w:ascii="Arial" w:hAnsi="Arial" w:eastAsia="Arial" w:cs="Arial"/>
          <w:color w:val="000000"/>
        </w:rPr>
      </w:r>
    </w:p>
    <w:p w14:paraId="4B37E26D" w14:textId="77777777">
      <w:pPr>
        <w:pBdr/>
        <w:spacing/>
        <w:ind/>
        <w:jc w:val="both"/>
        <w:rPr>
          <w:rFonts w:ascii="Arial" w:hAnsi="Arial" w:eastAsia="Arial" w:cs="Arial"/>
          <w:b/>
        </w:rPr>
      </w:pPr>
      <w:r>
        <w:rPr>
          <w:rFonts w:ascii="Arial" w:hAnsi="Arial" w:eastAsia="Arial" w:cs="Arial"/>
          <w:b/>
        </w:rPr>
        <w:t xml:space="preserve">13.7. DA REALIZAÇÃO DE CONSULTA EM NOME DA LICITANTE E TAMBÉM DE EVENTUAL MATRIZ OU FILIAL E DE SEUS SÓCIOS JUNTO AO:</w:t>
      </w:r>
      <w:r>
        <w:rPr>
          <w:rFonts w:ascii="Arial" w:hAnsi="Arial" w:eastAsia="Arial" w:cs="Arial"/>
          <w:b/>
        </w:rPr>
      </w:r>
    </w:p>
    <w:p w14:paraId="39F64458"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37A8A828" w14:textId="77777777">
      <w:pPr>
        <w:pBdr/>
        <w:spacing/>
        <w:ind/>
        <w:jc w:val="both"/>
        <w:rPr>
          <w:rFonts w:ascii="Arial" w:hAnsi="Arial" w:eastAsia="Arial" w:cs="Arial"/>
          <w:color w:val="000000"/>
        </w:rPr>
      </w:pPr>
      <w:r>
        <w:rPr>
          <w:rFonts w:ascii="Arial" w:hAnsi="Arial" w:eastAsia="Arial" w:cs="Arial"/>
          <w:b/>
        </w:rPr>
        <w:t xml:space="preserve">13.7.1.</w:t>
      </w:r>
      <w:r>
        <w:rPr>
          <w:rFonts w:ascii="Arial" w:hAnsi="Arial" w:eastAsia="Arial" w:cs="Arial"/>
        </w:rPr>
        <w:t xml:space="preserve"> </w:t>
      </w:r>
      <w:r>
        <w:rPr>
          <w:rFonts w:ascii="Arial" w:hAnsi="Arial" w:eastAsia="Arial" w:cs="Arial"/>
          <w:color w:val="000000"/>
        </w:rPr>
        <w:t xml:space="preserve">Cadastro Nacional de Condenações Cíveis por Atos de Improbidade Administrativa, mantido pelo Conselho Nacional de Justiça – CNJ, no endereço eletrônico </w:t>
      </w:r>
      <w:hyperlink r:id="rId28" w:tooltip="http://www.cnj.jus.br/improbidade_adm/consultar_requerido.php" w:history="1">
        <w:r>
          <w:rPr>
            <w:rFonts w:ascii="Arial" w:hAnsi="Arial" w:eastAsia="Arial" w:cs="Arial"/>
            <w:color w:val="2e74b5"/>
            <w:u w:val="single"/>
          </w:rPr>
          <w:t xml:space="preserve">www.cnj.jus.br/improbidade_adm/consultar_requerido.php</w:t>
        </w:r>
      </w:hyperlink>
      <w:r>
        <w:rPr>
          <w:rFonts w:ascii="Arial" w:hAnsi="Arial" w:eastAsia="Arial" w:cs="Arial"/>
          <w:color w:val="000000"/>
        </w:rPr>
        <w:t xml:space="preserve">;</w:t>
      </w:r>
      <w:r>
        <w:rPr>
          <w:rFonts w:ascii="Arial" w:hAnsi="Arial" w:eastAsia="Arial" w:cs="Arial"/>
          <w:color w:val="000000"/>
        </w:rPr>
      </w:r>
    </w:p>
    <w:p w14:paraId="5C47C53F" w14:textId="77777777">
      <w:pPr>
        <w:pBdr/>
        <w:spacing/>
        <w:ind/>
        <w:jc w:val="both"/>
        <w:rPr>
          <w:rFonts w:ascii="Arial" w:hAnsi="Arial" w:eastAsia="Arial" w:cs="Arial"/>
          <w:color w:val="000000"/>
        </w:rPr>
      </w:pPr>
      <w:r>
        <w:rPr>
          <w:rFonts w:ascii="Arial" w:hAnsi="Arial" w:eastAsia="Arial" w:cs="Arial"/>
          <w:color w:val="000000"/>
        </w:rPr>
      </w:r>
      <w:r>
        <w:rPr>
          <w:rFonts w:ascii="Arial" w:hAnsi="Arial" w:eastAsia="Arial" w:cs="Arial"/>
          <w:color w:val="000000"/>
        </w:rPr>
      </w:r>
    </w:p>
    <w:p w14:paraId="4866DD00" w14:textId="77777777">
      <w:pPr>
        <w:pBdr/>
        <w:spacing/>
        <w:ind/>
        <w:jc w:val="both"/>
        <w:rPr/>
      </w:pPr>
      <w:r>
        <w:rPr>
          <w:rFonts w:ascii="Arial" w:hAnsi="Arial" w:eastAsia="Arial" w:cs="Arial"/>
          <w:b/>
        </w:rPr>
        <w:t xml:space="preserve">13.7.2.</w:t>
      </w:r>
      <w:r>
        <w:rPr>
          <w:rFonts w:ascii="Arial" w:hAnsi="Arial" w:eastAsia="Arial" w:cs="Arial"/>
        </w:rPr>
        <w:t xml:space="preserve"> Cadastro Nacional das Empresas Inidôneas e Suspensas – CEIS, no endereço eletrônico </w:t>
      </w:r>
      <w:hyperlink r:id="rId29" w:tooltip="http://www.portaldatransparencia.gov.br/ceis" w:history="1">
        <w:r>
          <w:rPr>
            <w:rFonts w:ascii="Arial" w:hAnsi="Arial" w:eastAsia="Arial" w:cs="Arial"/>
            <w:color w:val="2e74b5"/>
            <w:u w:val="single"/>
          </w:rPr>
          <w:t xml:space="preserve">www.portaldatransparencia.gov.br/ceis</w:t>
        </w:r>
      </w:hyperlink>
      <w:r>
        <w:rPr>
          <w:rFonts w:ascii="Arial" w:hAnsi="Arial" w:eastAsia="Arial" w:cs="Arial"/>
        </w:rPr>
        <w:t xml:space="preserve">.</w:t>
      </w:r>
      <w:r/>
    </w:p>
    <w:p w14:paraId="2D391E0C"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03426C0F" w14:textId="77777777">
      <w:pPr>
        <w:pBdr/>
        <w:spacing/>
        <w:ind/>
        <w:jc w:val="both"/>
        <w:rPr/>
      </w:pPr>
      <w:r>
        <w:rPr>
          <w:rFonts w:ascii="Arial" w:hAnsi="Arial" w:eastAsia="Arial" w:cs="Arial"/>
          <w:b/>
        </w:rPr>
        <w:t xml:space="preserve">13.7.3. </w:t>
      </w:r>
      <w:r>
        <w:rPr>
          <w:rFonts w:ascii="Arial" w:hAnsi="Arial" w:eastAsia="Arial" w:cs="Arial"/>
        </w:rPr>
        <w:t xml:space="preserve">No caso dos licitantes Pessoa Jurídica as consultas acima poderão ser substituídas pela Consulta Consolidada de Pessoa Jurídica do TCU, no endereço eletrônico </w:t>
      </w:r>
      <w:hyperlink r:id="rId30" w:tooltip="https://certidoes-apf.apps.tcu.gov.br/" w:history="1">
        <w:r>
          <w:rPr>
            <w:rFonts w:ascii="Arial" w:hAnsi="Arial" w:eastAsia="Arial" w:cs="Arial"/>
            <w:color w:val="000000"/>
            <w:u w:val="single"/>
          </w:rPr>
          <w:t xml:space="preserve">https://certidoes-apf.apps.tcu.gov.br</w:t>
        </w:r>
      </w:hyperlink>
      <w:r>
        <w:rPr>
          <w:rFonts w:ascii="Arial" w:hAnsi="Arial" w:eastAsia="Arial" w:cs="Arial"/>
        </w:rPr>
        <w:t xml:space="preserve">.</w:t>
      </w:r>
      <w:r/>
    </w:p>
    <w:p w14:paraId="263829AF"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53A3D4D3" w14:textId="77777777">
      <w:pPr>
        <w:pBdr/>
        <w:spacing/>
        <w:ind/>
        <w:jc w:val="both"/>
        <w:rPr/>
      </w:pPr>
      <w:r>
        <w:rPr>
          <w:rFonts w:ascii="Arial" w:hAnsi="Arial" w:eastAsia="Arial" w:cs="Arial"/>
          <w:b/>
        </w:rPr>
        <w:t xml:space="preserve">13.7.4. </w:t>
      </w:r>
      <w:r>
        <w:rPr>
          <w:rFonts w:ascii="Arial" w:hAnsi="Arial" w:eastAsia="Arial" w:cs="Arial"/>
        </w:rPr>
        <w:t xml:space="preserve">Cadastro de Empresas Inidôneas e de Pessoas Suspensas de contratar com a Administração Pública do TCE/MT, no endereço eletrônico </w:t>
      </w:r>
      <w:hyperlink r:id="rId31" w:tooltip="https://jurisdicionado.tce.mt.gov.br/conteudo/index/sid/477" w:history="1">
        <w:r>
          <w:rPr>
            <w:rFonts w:ascii="Arial" w:hAnsi="Arial" w:eastAsia="Arial" w:cs="Arial"/>
            <w:color w:val="000000"/>
            <w:u w:val="single"/>
          </w:rPr>
          <w:t xml:space="preserve">https://jurisdicionado.tce.mt.gov.br/conteudo/index/sid/477</w:t>
        </w:r>
      </w:hyperlink>
      <w:r>
        <w:rPr>
          <w:rFonts w:ascii="Arial" w:hAnsi="Arial" w:eastAsia="Arial" w:cs="Arial"/>
        </w:rPr>
        <w:t xml:space="preserve">.</w:t>
      </w:r>
      <w:r/>
    </w:p>
    <w:p w14:paraId="4F28809D"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5FDAD855" w14:textId="77777777">
      <w:pPr>
        <w:pBdr/>
        <w:spacing/>
        <w:ind/>
        <w:jc w:val="both"/>
        <w:rPr>
          <w:rFonts w:ascii="Arial" w:hAnsi="Arial" w:eastAsia="Arial" w:cs="Arial"/>
        </w:rPr>
      </w:pPr>
      <w:r>
        <w:rPr>
          <w:rFonts w:ascii="Arial" w:hAnsi="Arial" w:eastAsia="Arial" w:cs="Arial"/>
          <w:b/>
        </w:rPr>
        <w:t xml:space="preserve">13.8. Sob pena de inabilitação, todos os documentos apresentados para habilitação deverão estar em nome da licitante, e, preferencialmente</w:t>
      </w:r>
      <w:r>
        <w:rPr>
          <w:rFonts w:ascii="Arial" w:hAnsi="Arial" w:eastAsia="Arial" w:cs="Arial"/>
        </w:rPr>
        <w:t xml:space="preserve">, com número do CNPJ e com o endereço respectivo: </w:t>
      </w:r>
      <w:r>
        <w:rPr>
          <w:rFonts w:ascii="Arial" w:hAnsi="Arial" w:eastAsia="Arial" w:cs="Arial"/>
        </w:rPr>
      </w:r>
    </w:p>
    <w:p w14:paraId="69AA11CA" w14:textId="77777777">
      <w:pPr>
        <w:pBdr/>
        <w:spacing/>
        <w:ind/>
        <w:jc w:val="both"/>
        <w:rPr>
          <w:rFonts w:ascii="Arial" w:hAnsi="Arial" w:eastAsia="Arial" w:cs="Arial"/>
        </w:rPr>
      </w:pPr>
      <w:r>
        <w:rPr>
          <w:rFonts w:ascii="Arial" w:hAnsi="Arial" w:eastAsia="Arial" w:cs="Arial"/>
          <w:b/>
        </w:rPr>
        <w:t xml:space="preserve">13.8.1.</w:t>
      </w:r>
      <w:r>
        <w:rPr>
          <w:rFonts w:ascii="Arial" w:hAnsi="Arial" w:eastAsia="Arial" w:cs="Arial"/>
        </w:rPr>
        <w:t xml:space="preserve"> Se a licitante for a matriz, todos os documentos deverão estar em nome da matriz; </w:t>
      </w:r>
      <w:r>
        <w:rPr>
          <w:rFonts w:ascii="Arial" w:hAnsi="Arial" w:eastAsia="Arial" w:cs="Arial"/>
        </w:rPr>
      </w:r>
    </w:p>
    <w:p w14:paraId="3C795537"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15C6E8DD" w14:textId="77777777">
      <w:pPr>
        <w:pBdr/>
        <w:spacing/>
        <w:ind/>
        <w:jc w:val="both"/>
        <w:rPr>
          <w:rFonts w:ascii="Arial" w:hAnsi="Arial" w:eastAsia="Arial" w:cs="Arial"/>
        </w:rPr>
      </w:pPr>
      <w:r>
        <w:rPr>
          <w:rFonts w:ascii="Arial" w:hAnsi="Arial" w:eastAsia="Arial" w:cs="Arial"/>
          <w:b/>
        </w:rPr>
        <w:t xml:space="preserve">13.8.2.</w:t>
      </w:r>
      <w:r>
        <w:rPr>
          <w:rFonts w:ascii="Arial" w:hAnsi="Arial" w:eastAsia="Arial" w:cs="Arial"/>
        </w:rPr>
        <w:t xml:space="preserve"> Se a licitante for a filial, todos os documentos deverão estar em nome da filial, exceto aqueles </w:t>
      </w:r>
      <w:r>
        <w:rPr>
          <w:rFonts w:ascii="Arial" w:hAnsi="Arial" w:eastAsia="Arial" w:cs="Arial"/>
          <w:b/>
        </w:rPr>
        <w:t xml:space="preserve">documentos</w:t>
      </w:r>
      <w:r>
        <w:rPr>
          <w:rFonts w:ascii="Arial" w:hAnsi="Arial" w:eastAsia="Arial" w:cs="Arial"/>
        </w:rPr>
        <w:t xml:space="preserve"> que, pela própria natureza, comprovadamente, forem emitidos somente em nome da matriz; </w:t>
      </w:r>
      <w:r>
        <w:rPr>
          <w:rFonts w:ascii="Arial" w:hAnsi="Arial" w:eastAsia="Arial" w:cs="Arial"/>
        </w:rPr>
      </w:r>
    </w:p>
    <w:p w14:paraId="0AE01D83"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52D8D90B" w14:textId="77777777">
      <w:pPr>
        <w:pBdr/>
        <w:spacing/>
        <w:ind/>
        <w:jc w:val="both"/>
        <w:rPr>
          <w:rFonts w:ascii="Arial" w:hAnsi="Arial" w:eastAsia="Arial" w:cs="Arial"/>
        </w:rPr>
      </w:pPr>
      <w:r>
        <w:rPr>
          <w:rFonts w:ascii="Arial" w:hAnsi="Arial" w:eastAsia="Arial" w:cs="Arial"/>
          <w:b/>
        </w:rPr>
        <w:t xml:space="preserve">13.9.</w:t>
      </w:r>
      <w:r>
        <w:rPr>
          <w:rFonts w:ascii="Arial" w:hAnsi="Arial" w:eastAsia="Arial" w:cs="Arial"/>
        </w:rPr>
        <w:t xml:space="preserve"> Os documentos apresentados para habilitação sem disposição expressa do órgão expedidor quanto a sua validade, terão o </w:t>
      </w:r>
      <w:r>
        <w:rPr>
          <w:rFonts w:ascii="Arial" w:hAnsi="Arial" w:eastAsia="Arial" w:cs="Arial"/>
          <w:b/>
        </w:rPr>
        <w:t xml:space="preserve">prazo de vencimento de 60 (sessenta) dias</w:t>
      </w:r>
      <w:r>
        <w:rPr>
          <w:rFonts w:ascii="Arial" w:hAnsi="Arial" w:eastAsia="Arial" w:cs="Arial"/>
        </w:rPr>
        <w:t xml:space="preserve"> contados a partir de sua data de emissão a data da sessão pública;</w:t>
      </w:r>
      <w:r>
        <w:rPr>
          <w:rFonts w:ascii="Arial" w:hAnsi="Arial" w:eastAsia="Arial" w:cs="Arial"/>
        </w:rPr>
      </w:r>
    </w:p>
    <w:p w14:paraId="640B6C83"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254EBE8D" w14:textId="77777777">
      <w:pPr>
        <w:pBdr/>
        <w:spacing/>
        <w:ind/>
        <w:jc w:val="both"/>
        <w:rPr>
          <w:rFonts w:ascii="Arial" w:hAnsi="Arial" w:eastAsia="Arial" w:cs="Arial"/>
        </w:rPr>
      </w:pPr>
      <w:r>
        <w:rPr>
          <w:rFonts w:ascii="Arial" w:hAnsi="Arial" w:eastAsia="Arial" w:cs="Arial"/>
          <w:b/>
        </w:rPr>
        <w:t xml:space="preserve">13.10.</w:t>
      </w:r>
      <w:r>
        <w:rPr>
          <w:rFonts w:ascii="Arial" w:hAnsi="Arial" w:eastAsia="Arial" w:cs="Arial"/>
        </w:rPr>
        <w:t xml:space="preserve"> Poderá ser declarado qualquer fato formal, des</w:t>
      </w:r>
      <w:r>
        <w:rPr>
          <w:rFonts w:ascii="Arial" w:hAnsi="Arial" w:eastAsia="Arial" w:cs="Arial"/>
        </w:rPr>
        <w:t xml:space="preserve">de que não implique desobediência à legislação e for evidente a vantagem para a Administração, devendo também, se necessário, promover diligência para dirimir a dúvida, cabendo, inclusive, estabelecer um prazo máximo de 02 (dois) dias úteis para a solução;</w:t>
      </w:r>
      <w:r>
        <w:rPr>
          <w:rFonts w:ascii="Arial" w:hAnsi="Arial" w:eastAsia="Arial" w:cs="Arial"/>
        </w:rPr>
      </w:r>
    </w:p>
    <w:p w14:paraId="58F0DC58"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2B4213DB" w14:textId="77777777">
      <w:pPr>
        <w:pBdr/>
        <w:spacing/>
        <w:ind/>
        <w:jc w:val="both"/>
        <w:rPr>
          <w:rFonts w:ascii="Arial" w:hAnsi="Arial" w:eastAsia="Arial" w:cs="Arial"/>
          <w:i/>
        </w:rPr>
      </w:pPr>
      <w:r>
        <w:rPr>
          <w:rFonts w:ascii="Arial" w:hAnsi="Arial" w:eastAsia="Arial" w:cs="Arial"/>
          <w:b/>
        </w:rPr>
        <w:t xml:space="preserve">13.11.</w:t>
      </w:r>
      <w:r>
        <w:rPr>
          <w:rFonts w:ascii="Arial" w:hAnsi="Arial" w:eastAsia="Arial" w:cs="Arial"/>
        </w:rPr>
        <w:t xml:space="preserve"> A verificação pelo pregoeiro, em sítios eletrônicos oficiais de órgãos e entidades emissores de certidões constitui meio legal de prova, para fins de habilitação;</w:t>
      </w:r>
      <w:r>
        <w:rPr>
          <w:rFonts w:ascii="Arial" w:hAnsi="Arial" w:eastAsia="Arial" w:cs="Arial"/>
          <w:i/>
        </w:rPr>
      </w:r>
    </w:p>
    <w:p w14:paraId="21008403"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2BD53D8F" w14:textId="77777777">
      <w:pPr>
        <w:pBdr/>
        <w:spacing/>
        <w:ind/>
        <w:jc w:val="both"/>
        <w:rPr>
          <w:rFonts w:ascii="Arial" w:hAnsi="Arial" w:eastAsia="Arial" w:cs="Arial"/>
        </w:rPr>
      </w:pPr>
      <w:r>
        <w:rPr>
          <w:rFonts w:ascii="Arial" w:hAnsi="Arial" w:eastAsia="Arial" w:cs="Arial"/>
          <w:b/>
        </w:rPr>
        <w:t xml:space="preserve">13.12.</w:t>
      </w:r>
      <w:r>
        <w:rPr>
          <w:rFonts w:ascii="Arial" w:hAnsi="Arial" w:eastAsia="Arial" w:cs="Arial"/>
        </w:rPr>
        <w:t xml:space="preserve"> Constatando, por meio de diligência, o não atendimento ao estabelecido, o Pregoeiro considerará a proponente inabilitada e prosseguirá a sessão; </w:t>
      </w:r>
      <w:r>
        <w:rPr>
          <w:rFonts w:ascii="Arial" w:hAnsi="Arial" w:eastAsia="Arial" w:cs="Arial"/>
        </w:rPr>
      </w:r>
    </w:p>
    <w:p w14:paraId="2EA761F4"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6665A0A9" w14:textId="77777777">
      <w:pPr>
        <w:pBdr/>
        <w:spacing/>
        <w:ind/>
        <w:jc w:val="both"/>
        <w:rPr>
          <w:rFonts w:ascii="Arial" w:hAnsi="Arial" w:eastAsia="Arial" w:cs="Arial"/>
        </w:rPr>
      </w:pPr>
      <w:r>
        <w:rPr>
          <w:rFonts w:ascii="Arial" w:hAnsi="Arial" w:eastAsia="Arial" w:cs="Arial"/>
          <w:b/>
        </w:rPr>
        <w:t xml:space="preserve">13.13.</w:t>
      </w:r>
      <w:r>
        <w:rPr>
          <w:rFonts w:ascii="Arial" w:hAnsi="Arial" w:eastAsia="Arial" w:cs="Arial"/>
        </w:rPr>
        <w:t xml:space="preserve"> Os atos e os documentos para habilitação, constantes dos arquivos e registros digitais, serão válidos para todos os efeitos legais, inclusive para comprovação e prestação de contas. (Conf. Decreto 10.024 /2019, Art. 8º, § 1º);</w:t>
      </w:r>
      <w:r>
        <w:rPr>
          <w:rFonts w:ascii="Arial" w:hAnsi="Arial" w:eastAsia="Arial" w:cs="Arial"/>
        </w:rPr>
      </w:r>
    </w:p>
    <w:p w14:paraId="63D1571F"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71083765" w14:textId="77777777">
      <w:pPr>
        <w:pBdr/>
        <w:spacing/>
        <w:ind/>
        <w:jc w:val="both"/>
        <w:rPr>
          <w:rFonts w:ascii="Arial" w:hAnsi="Arial" w:eastAsia="Arial" w:cs="Arial"/>
        </w:rPr>
      </w:pPr>
      <w:r>
        <w:rPr>
          <w:rFonts w:ascii="Arial" w:hAnsi="Arial" w:eastAsia="Arial" w:cs="Arial"/>
          <w:b/>
        </w:rPr>
        <w:t xml:space="preserve">13.14.</w:t>
      </w:r>
      <w:r>
        <w:rPr>
          <w:rFonts w:ascii="Arial" w:hAnsi="Arial" w:eastAsia="Arial" w:cs="Arial"/>
        </w:rPr>
        <w:t xml:space="preserve"> Somente haverá a necessidade de comprovação do preenchimento de requisitos mediante apresentação dos documentos originais não-digitais quando houver dúvida em relação à integridade do documento digital ou quando a lei expressamente o exigir. (</w:t>
      </w:r>
      <w:hyperlink r:id="rId32" w:tooltip="https://www.gov.br/compras/pt-br/acesso-a-informacao/legislacao/instrucoes-normativas/instrucao-normativa-no-3-de-26-de-abril-de-2018#art4" w:anchor="art4" w:history="1">
        <w:r>
          <w:rPr>
            <w:rFonts w:ascii="Arial" w:hAnsi="Arial" w:eastAsia="Arial" w:cs="Arial"/>
            <w:color w:val="0000ff"/>
            <w:u w:val="single"/>
          </w:rPr>
          <w:t xml:space="preserve">IN nº 3/2018, art. 4º, §1º, e art. 6º, §4º</w:t>
        </w:r>
      </w:hyperlink>
      <w:r>
        <w:rPr>
          <w:rFonts w:ascii="Arial" w:hAnsi="Arial" w:eastAsia="Arial" w:cs="Arial"/>
        </w:rPr>
        <w:t xml:space="preserve">);</w:t>
      </w:r>
      <w:r>
        <w:rPr>
          <w:rFonts w:ascii="Arial" w:hAnsi="Arial" w:eastAsia="Arial" w:cs="Arial"/>
        </w:rPr>
      </w:r>
    </w:p>
    <w:p w14:paraId="6342168D"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7967F89C" w14:textId="77777777">
      <w:pPr>
        <w:pBdr/>
        <w:spacing/>
        <w:ind/>
        <w:jc w:val="both"/>
        <w:rPr>
          <w:rFonts w:ascii="Arial" w:hAnsi="Arial" w:eastAsia="Arial" w:cs="Arial"/>
        </w:rPr>
      </w:pPr>
      <w:r>
        <w:rPr>
          <w:rFonts w:ascii="Arial" w:hAnsi="Arial" w:eastAsia="Arial" w:cs="Arial"/>
          <w:b/>
        </w:rPr>
        <w:t xml:space="preserve">13.15.</w:t>
      </w:r>
      <w:r>
        <w:rPr>
          <w:rFonts w:ascii="Arial" w:hAnsi="Arial" w:eastAsia="Arial" w:cs="Arial"/>
        </w:rPr>
        <w:t xml:space="preserve"> O Pregoeiro reserva-se o direito de solicitar o original de qualquer documento, sempre que tiver dúvida e julgar necessário.</w:t>
      </w:r>
      <w:r>
        <w:rPr>
          <w:rFonts w:ascii="Arial" w:hAnsi="Arial" w:eastAsia="Arial" w:cs="Arial"/>
        </w:rPr>
      </w:r>
    </w:p>
    <w:p w14:paraId="24B96D43"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78A16F17" w14:textId="77777777">
      <w:pPr>
        <w:pStyle w:val="882"/>
        <w:pBdr/>
        <w:spacing w:after="0" w:before="0"/>
        <w:ind/>
        <w:rPr>
          <w:sz w:val="20"/>
          <w:szCs w:val="20"/>
          <w:lang w:val="pt-BR"/>
        </w:rPr>
      </w:pPr>
      <w:r/>
      <w:bookmarkStart w:id="22" w:name="_heading=h.944szp270no9"/>
      <w:r/>
      <w:bookmarkEnd w:id="22"/>
      <w:r>
        <w:rPr>
          <w:sz w:val="20"/>
          <w:szCs w:val="20"/>
          <w:lang w:val="pt-BR"/>
        </w:rPr>
        <w:t xml:space="preserve">14. DO ENVIO DE DOCUMENTOS COMPLENTARES QUANDO FOR O CASO:</w:t>
      </w:r>
      <w:r>
        <w:rPr>
          <w:sz w:val="20"/>
          <w:szCs w:val="20"/>
          <w:lang w:val="pt-BR"/>
        </w:rPr>
      </w:r>
    </w:p>
    <w:p w14:paraId="642FB7B2" w14:textId="77777777">
      <w:pPr>
        <w:pBdr/>
        <w:spacing/>
        <w:ind/>
        <w:jc w:val="both"/>
        <w:rPr>
          <w:rFonts w:ascii="Arial" w:hAnsi="Arial" w:eastAsia="Arial" w:cs="Arial"/>
          <w:b/>
          <w:color w:val="000000"/>
        </w:rPr>
      </w:pPr>
      <w:r>
        <w:rPr>
          <w:rFonts w:ascii="Arial" w:hAnsi="Arial" w:eastAsia="Arial" w:cs="Arial"/>
          <w:b/>
          <w:color w:val="000000"/>
        </w:rPr>
      </w:r>
      <w:r>
        <w:rPr>
          <w:rFonts w:ascii="Arial" w:hAnsi="Arial" w:eastAsia="Arial" w:cs="Arial"/>
          <w:b/>
          <w:color w:val="000000"/>
        </w:rPr>
      </w:r>
    </w:p>
    <w:p w14:paraId="15A708B3" w14:textId="77777777">
      <w:pPr>
        <w:pBdr/>
        <w:spacing/>
        <w:ind/>
        <w:jc w:val="both"/>
        <w:rPr>
          <w:rFonts w:ascii="Arial" w:hAnsi="Arial" w:eastAsia="Arial" w:cs="Arial"/>
        </w:rPr>
      </w:pPr>
      <w:r>
        <w:rPr>
          <w:rFonts w:ascii="Arial" w:hAnsi="Arial" w:eastAsia="Arial" w:cs="Arial"/>
          <w:b/>
        </w:rPr>
        <w:t xml:space="preserve">14.1. </w:t>
      </w:r>
      <w:r>
        <w:rPr>
          <w:rFonts w:ascii="Arial" w:hAnsi="Arial" w:eastAsia="Arial" w:cs="Arial"/>
        </w:rPr>
        <w:t xml:space="preserve">Na hipótese de necessidade de envio de documentos complementares após o julgamento da proposta, os documentos deverão ser apresentados em formato digital, </w:t>
      </w:r>
      <w:r>
        <w:rPr>
          <w:rFonts w:ascii="Arial" w:hAnsi="Arial" w:eastAsia="Arial" w:cs="Arial"/>
          <w:color w:val="000000"/>
        </w:rPr>
        <w:t xml:space="preserve">via sistema BLL</w:t>
      </w:r>
      <w:r>
        <w:rPr>
          <w:rFonts w:ascii="Arial" w:hAnsi="Arial" w:eastAsia="Arial" w:cs="Arial"/>
        </w:rPr>
        <w:t xml:space="preserve">, no prazo máximo de até 02 (dois) dias úteis, após solicitação do Pregoeiro;</w:t>
      </w:r>
      <w:r>
        <w:rPr>
          <w:rFonts w:ascii="Arial" w:hAnsi="Arial" w:eastAsia="Arial" w:cs="Arial"/>
        </w:rPr>
      </w:r>
    </w:p>
    <w:p w14:paraId="4405771F"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20B7ADAA" w14:textId="77777777">
      <w:pPr>
        <w:pBdr/>
        <w:spacing/>
        <w:ind/>
        <w:jc w:val="both"/>
        <w:rPr>
          <w:rFonts w:ascii="Arial" w:hAnsi="Arial" w:eastAsia="Arial" w:cs="Arial"/>
        </w:rPr>
      </w:pPr>
      <w:r>
        <w:rPr>
          <w:rFonts w:ascii="Arial" w:hAnsi="Arial" w:eastAsia="Arial" w:cs="Arial"/>
          <w:b/>
        </w:rPr>
        <w:t xml:space="preserve">14.1.1. </w:t>
      </w:r>
      <w:r>
        <w:rPr>
          <w:rFonts w:ascii="Arial" w:hAnsi="Arial" w:eastAsia="Arial" w:cs="Arial"/>
        </w:rPr>
        <w:t xml:space="preserve">Os documentos complementares a serem apresentados não poderão ser os já exigidos no edital para fins de habilitação, não se trata de uma segunda oportunidade para envio de documentos de habilitação. A diligência em questão permite, ape</w:t>
      </w:r>
      <w:r>
        <w:rPr>
          <w:rFonts w:ascii="Arial" w:hAnsi="Arial" w:eastAsia="Arial" w:cs="Arial"/>
        </w:rPr>
        <w:t xml:space="preserve">nas, a solicitação de documentos outros para confirmação dos já apresentados (quando houver dúvida sobre integridade de documentos, cópia de contrato de prestação de serviços que tenha embasado a emissão de atestado de capacidade técnica, já apresentados).</w:t>
      </w:r>
      <w:r>
        <w:rPr>
          <w:rFonts w:ascii="Arial" w:hAnsi="Arial" w:eastAsia="Arial" w:cs="Arial"/>
        </w:rPr>
      </w:r>
    </w:p>
    <w:p w14:paraId="418E1E96" w14:textId="77777777">
      <w:pPr>
        <w:pBdr/>
        <w:spacing/>
        <w:ind/>
        <w:jc w:val="both"/>
        <w:rPr>
          <w:rFonts w:ascii="Arial" w:hAnsi="Arial" w:eastAsia="Arial" w:cs="Arial"/>
          <w:color w:val="000000"/>
        </w:rPr>
      </w:pPr>
      <w:r>
        <w:rPr>
          <w:rFonts w:ascii="Arial" w:hAnsi="Arial" w:eastAsia="Arial" w:cs="Arial"/>
          <w:color w:val="000000"/>
        </w:rPr>
      </w:r>
      <w:r>
        <w:rPr>
          <w:rFonts w:ascii="Arial" w:hAnsi="Arial" w:eastAsia="Arial" w:cs="Arial"/>
          <w:color w:val="000000"/>
        </w:rPr>
      </w:r>
    </w:p>
    <w:p w14:paraId="04383371" w14:textId="77777777">
      <w:pPr>
        <w:pStyle w:val="882"/>
        <w:pBdr/>
        <w:spacing w:after="0" w:before="0"/>
        <w:ind/>
        <w:rPr>
          <w:sz w:val="20"/>
          <w:szCs w:val="20"/>
          <w:lang w:val="pt-BR"/>
        </w:rPr>
      </w:pPr>
      <w:r/>
      <w:bookmarkStart w:id="23" w:name="_heading=h.bqhv2hf44v1o"/>
      <w:r/>
      <w:bookmarkEnd w:id="23"/>
      <w:r>
        <w:rPr>
          <w:sz w:val="20"/>
          <w:szCs w:val="20"/>
          <w:lang w:val="pt-BR"/>
        </w:rPr>
        <w:t xml:space="preserve">15. DA ADJUDICAÇÃO E HOMOLOGAÇÃO:</w:t>
      </w:r>
      <w:r>
        <w:rPr>
          <w:sz w:val="20"/>
          <w:szCs w:val="20"/>
          <w:lang w:val="pt-BR"/>
        </w:rPr>
      </w:r>
    </w:p>
    <w:p w14:paraId="7B1A2C72"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36280CAC" w14:textId="77777777">
      <w:pPr>
        <w:pBdr/>
        <w:spacing/>
        <w:ind/>
        <w:jc w:val="both"/>
        <w:rPr>
          <w:rFonts w:ascii="Arial" w:hAnsi="Arial" w:eastAsia="Arial" w:cs="Arial"/>
        </w:rPr>
      </w:pPr>
      <w:r>
        <w:rPr>
          <w:rFonts w:ascii="Arial" w:hAnsi="Arial" w:eastAsia="Arial" w:cs="Arial"/>
          <w:b/>
        </w:rPr>
        <w:t xml:space="preserve">15.1.</w:t>
      </w:r>
      <w:r>
        <w:rPr>
          <w:rFonts w:ascii="Arial" w:hAnsi="Arial" w:eastAsia="Arial" w:cs="Arial"/>
        </w:rPr>
        <w:t xml:space="preserve"> Não havendo recurso e constatado o atendimento das exigências fixadas neste Edital, a licitante será declarada vencedora do certame, sendo-lhe adjudicado o objeto pela autoridade competente.</w:t>
      </w:r>
      <w:r>
        <w:rPr>
          <w:rFonts w:ascii="Arial" w:hAnsi="Arial" w:eastAsia="Arial" w:cs="Arial"/>
        </w:rPr>
      </w:r>
    </w:p>
    <w:p w14:paraId="397AF4AE"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3D099B04" w14:textId="77777777">
      <w:pPr>
        <w:pBdr/>
        <w:spacing/>
        <w:ind/>
        <w:jc w:val="both"/>
        <w:rPr>
          <w:rFonts w:ascii="Arial" w:hAnsi="Arial" w:eastAsia="Arial" w:cs="Arial"/>
        </w:rPr>
      </w:pPr>
      <w:r>
        <w:rPr>
          <w:rFonts w:ascii="Arial" w:hAnsi="Arial" w:eastAsia="Arial" w:cs="Arial"/>
          <w:b/>
        </w:rPr>
        <w:t xml:space="preserve">15.2.</w:t>
      </w:r>
      <w:r>
        <w:rPr>
          <w:rFonts w:ascii="Arial" w:hAnsi="Arial" w:eastAsia="Arial" w:cs="Arial"/>
        </w:rPr>
        <w:t xml:space="preserve"> Havendo recurso, e mantida a decisão do(a) pregoeiro(a), a autoridade competente, após deliberar sobre o mesmo e constatada a regularidade dos atos procedimentais, poderá adjudicar o objeto à licitante vencedora e homologar o processo licitatório.</w:t>
      </w:r>
      <w:r>
        <w:rPr>
          <w:rFonts w:ascii="Arial" w:hAnsi="Arial" w:eastAsia="Arial" w:cs="Arial"/>
        </w:rPr>
      </w:r>
    </w:p>
    <w:p w14:paraId="348CC032"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16B60C8B" w14:textId="77777777">
      <w:pPr>
        <w:pBdr/>
        <w:spacing/>
        <w:ind/>
        <w:jc w:val="both"/>
        <w:rPr>
          <w:rFonts w:ascii="Arial" w:hAnsi="Arial" w:eastAsia="Arial" w:cs="Arial"/>
        </w:rPr>
      </w:pPr>
      <w:r>
        <w:rPr>
          <w:rFonts w:ascii="Arial" w:hAnsi="Arial" w:eastAsia="Arial" w:cs="Arial"/>
          <w:b/>
        </w:rPr>
        <w:t xml:space="preserve">15.3.</w:t>
      </w:r>
      <w:r>
        <w:rPr>
          <w:rFonts w:ascii="Arial" w:hAnsi="Arial" w:eastAsia="Arial" w:cs="Arial"/>
        </w:rPr>
        <w:t xml:space="preserve"> Encerrada a etapa de recurso o(a) pregoeiro(a) encaminhará os autos do processo para a autoridade competente, para adjudicação e homologação do procedimento licitatório, observadas, no que couber, as disposições do </w:t>
      </w:r>
      <w:r>
        <w:rPr>
          <w:rFonts w:ascii="Arial" w:hAnsi="Arial" w:eastAsia="Arial" w:cs="Arial"/>
          <w:color w:val="000000"/>
          <w:u w:val="single"/>
        </w:rPr>
        <w:t xml:space="preserve">art. 71 da Lei Federal nº 14.133/2021</w:t>
      </w:r>
      <w:r>
        <w:rPr>
          <w:rFonts w:ascii="Arial" w:hAnsi="Arial" w:eastAsia="Arial" w:cs="Arial"/>
        </w:rPr>
        <w:t xml:space="preserve">.</w:t>
      </w:r>
      <w:r>
        <w:rPr>
          <w:rFonts w:ascii="Arial" w:hAnsi="Arial" w:eastAsia="Arial" w:cs="Arial"/>
        </w:rPr>
      </w:r>
    </w:p>
    <w:p w14:paraId="610BE3D2"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202FD964" w14:textId="77777777">
      <w:pPr>
        <w:pStyle w:val="882"/>
        <w:pBdr/>
        <w:spacing w:after="0" w:before="0"/>
        <w:ind/>
        <w:rPr>
          <w:sz w:val="20"/>
          <w:szCs w:val="20"/>
          <w:highlight w:val="yellow"/>
          <w:lang w:val="pt-BR"/>
        </w:rPr>
      </w:pPr>
      <w:r/>
      <w:bookmarkStart w:id="24" w:name="_heading=h.15hkj7y9idnj"/>
      <w:r/>
      <w:bookmarkStart w:id="25" w:name="_heading=h.rrjbw7q3ny3"/>
      <w:r/>
      <w:bookmarkEnd w:id="24"/>
      <w:r/>
      <w:bookmarkEnd w:id="25"/>
      <w:r>
        <w:rPr>
          <w:sz w:val="20"/>
          <w:szCs w:val="20"/>
          <w:lang w:val="pt-BR"/>
        </w:rPr>
        <w:t xml:space="preserve">16. DA ATA DE REGISTRO DE PREÇOS:  </w:t>
      </w:r>
      <w:r>
        <w:rPr>
          <w:sz w:val="20"/>
          <w:szCs w:val="20"/>
          <w:highlight w:val="yellow"/>
          <w:lang w:val="pt-BR"/>
        </w:rPr>
      </w:r>
    </w:p>
    <w:p w14:paraId="66B38C98" w14:textId="77777777">
      <w:pPr>
        <w:pBdr/>
        <w:spacing/>
        <w:ind/>
        <w:rPr>
          <w:rFonts w:ascii="Arial" w:hAnsi="Arial" w:cs="Arial"/>
          <w:b/>
          <w:bCs/>
        </w:rPr>
      </w:pPr>
      <w:r>
        <w:rPr>
          <w:rFonts w:ascii="Arial" w:hAnsi="Arial" w:cs="Arial"/>
          <w:b/>
          <w:bCs/>
        </w:rPr>
      </w:r>
      <w:r>
        <w:rPr>
          <w:rFonts w:ascii="Arial" w:hAnsi="Arial" w:cs="Arial"/>
          <w:b/>
          <w:bCs/>
        </w:rPr>
      </w:r>
    </w:p>
    <w:p w14:paraId="11259710" w14:textId="77777777">
      <w:pPr>
        <w:pBdr/>
        <w:spacing/>
        <w:ind/>
        <w:jc w:val="both"/>
        <w:rPr>
          <w:rFonts w:ascii="Arial" w:hAnsi="Arial" w:cs="Arial"/>
        </w:rPr>
      </w:pPr>
      <w:r>
        <w:rPr>
          <w:rFonts w:ascii="Arial" w:hAnsi="Arial" w:cs="Arial"/>
          <w:b/>
        </w:rPr>
        <w:t xml:space="preserve">16.1.</w:t>
      </w:r>
      <w:r>
        <w:rPr>
          <w:rFonts w:ascii="Arial" w:hAnsi="Arial" w:cs="Arial"/>
        </w:rPr>
        <w:t xml:space="preserve"> Homologado o resultado da licitação, o licitante melhor classificado terá o prazo de 05 (cin</w:t>
      </w:r>
      <w:r>
        <w:rPr>
          <w:rFonts w:ascii="Arial" w:hAnsi="Arial" w:cs="Arial"/>
        </w:rPr>
        <w:t xml:space="preserve">co) dias, contados a partir da data de sua convocação, para assinar a Ata de Registro de Preços, cujo prazo de validade encontra-se nela fixado, sob pena de decadência do direito à contratação, sem prejuízo das sanções previstas na Lei nº 14.133, de 2021; </w:t>
      </w:r>
      <w:r>
        <w:rPr>
          <w:rFonts w:ascii="Arial" w:hAnsi="Arial" w:cs="Arial"/>
        </w:rPr>
      </w:r>
    </w:p>
    <w:p w14:paraId="6A20ED3E" w14:textId="77777777">
      <w:pPr>
        <w:pBdr/>
        <w:spacing/>
        <w:ind/>
        <w:jc w:val="both"/>
        <w:rPr>
          <w:rFonts w:ascii="Arial" w:hAnsi="Arial" w:cs="Arial"/>
        </w:rPr>
      </w:pPr>
      <w:r>
        <w:rPr>
          <w:rFonts w:ascii="Arial" w:hAnsi="Arial" w:cs="Arial"/>
        </w:rPr>
      </w:r>
      <w:r>
        <w:rPr>
          <w:rFonts w:ascii="Arial" w:hAnsi="Arial" w:cs="Arial"/>
        </w:rPr>
      </w:r>
    </w:p>
    <w:p w14:paraId="0C3A58B7" w14:textId="77777777">
      <w:pPr>
        <w:pBdr/>
        <w:spacing/>
        <w:ind/>
        <w:jc w:val="both"/>
        <w:rPr>
          <w:rFonts w:ascii="Arial" w:hAnsi="Arial" w:cs="Arial"/>
        </w:rPr>
      </w:pPr>
      <w:r>
        <w:rPr>
          <w:rFonts w:ascii="Arial" w:hAnsi="Arial" w:cs="Arial"/>
          <w:b/>
        </w:rPr>
        <w:t xml:space="preserve">16.2.</w:t>
      </w:r>
      <w:r>
        <w:rPr>
          <w:rFonts w:ascii="Arial" w:hAnsi="Arial" w:cs="Arial"/>
        </w:rPr>
        <w:t xml:space="preserve"> Alternativamente à convocação para comparecer perante o órgão ou entidade para a assinat</w:t>
      </w:r>
      <w:r>
        <w:rPr>
          <w:rFonts w:ascii="Arial" w:hAnsi="Arial" w:cs="Arial"/>
        </w:rPr>
        <w:t xml:space="preserve">ura da Ata de Registro de Preços, a Administração poderá encaminhá-la para assinatura, mediante correspondência postal com aviso de recebimento (AR) ou meio eletrônico, para que seja assinada no prazo de 5 (cinco) dias, a contar da data de seu recebimento;</w:t>
      </w:r>
      <w:r>
        <w:rPr>
          <w:rFonts w:ascii="Arial" w:hAnsi="Arial" w:cs="Arial"/>
        </w:rPr>
      </w:r>
    </w:p>
    <w:p w14:paraId="356A1B41" w14:textId="77777777">
      <w:pPr>
        <w:pBdr/>
        <w:spacing/>
        <w:ind/>
        <w:jc w:val="both"/>
        <w:rPr>
          <w:rFonts w:ascii="Arial" w:hAnsi="Arial" w:cs="Arial"/>
          <w:b/>
        </w:rPr>
      </w:pPr>
      <w:r>
        <w:rPr>
          <w:rFonts w:ascii="Arial" w:hAnsi="Arial" w:cs="Arial"/>
          <w:b/>
        </w:rPr>
      </w:r>
      <w:r>
        <w:rPr>
          <w:rFonts w:ascii="Arial" w:hAnsi="Arial" w:cs="Arial"/>
          <w:b/>
        </w:rPr>
      </w:r>
    </w:p>
    <w:p w14:paraId="42A45DFC" w14:textId="77777777">
      <w:pPr>
        <w:pBdr/>
        <w:spacing/>
        <w:ind/>
        <w:jc w:val="both"/>
        <w:rPr>
          <w:rFonts w:ascii="Arial" w:hAnsi="Arial" w:cs="Arial"/>
        </w:rPr>
      </w:pPr>
      <w:r>
        <w:rPr>
          <w:rFonts w:ascii="Arial" w:hAnsi="Arial" w:cs="Arial"/>
          <w:b/>
        </w:rPr>
        <w:t xml:space="preserve">16.3.</w:t>
      </w:r>
      <w:r>
        <w:rPr>
          <w:rFonts w:ascii="Arial" w:hAnsi="Arial" w:cs="Arial"/>
        </w:rPr>
        <w:t xml:space="preserve"> O prazo de convocação poderá ser prorrogado uma vez, por igual período, mediante solicitação do licitante melhor classificado ou do fornecedor convocado, desde que:</w:t>
      </w:r>
      <w:r>
        <w:rPr>
          <w:rFonts w:ascii="Arial" w:hAnsi="Arial" w:cs="Arial"/>
        </w:rPr>
      </w:r>
    </w:p>
    <w:p w14:paraId="36B6706D" w14:textId="77777777">
      <w:pPr>
        <w:pBdr/>
        <w:spacing/>
        <w:ind/>
        <w:jc w:val="both"/>
        <w:rPr>
          <w:rFonts w:ascii="Arial" w:hAnsi="Arial" w:cs="Arial"/>
        </w:rPr>
      </w:pPr>
      <w:r>
        <w:rPr>
          <w:rFonts w:ascii="Arial" w:hAnsi="Arial" w:cs="Arial"/>
        </w:rPr>
      </w:r>
      <w:r>
        <w:rPr>
          <w:rFonts w:ascii="Arial" w:hAnsi="Arial" w:cs="Arial"/>
        </w:rPr>
      </w:r>
    </w:p>
    <w:p w14:paraId="1003E44F" w14:textId="77777777">
      <w:pPr>
        <w:pBdr/>
        <w:spacing/>
        <w:ind/>
        <w:jc w:val="both"/>
        <w:rPr>
          <w:rFonts w:ascii="Arial" w:hAnsi="Arial" w:cs="Arial"/>
        </w:rPr>
      </w:pPr>
      <w:r>
        <w:rPr>
          <w:rFonts w:ascii="Arial" w:hAnsi="Arial" w:cs="Arial"/>
          <w:b/>
        </w:rPr>
        <w:t xml:space="preserve">16.3.1. </w:t>
      </w:r>
      <w:r>
        <w:rPr>
          <w:rFonts w:ascii="Arial" w:hAnsi="Arial" w:cs="Arial"/>
        </w:rPr>
        <w:t xml:space="preserve">A solicitação seja devidamente justificada e apresentada dentro do prazo; e</w:t>
      </w:r>
      <w:r>
        <w:rPr>
          <w:rFonts w:ascii="Arial" w:hAnsi="Arial" w:cs="Arial"/>
        </w:rPr>
      </w:r>
    </w:p>
    <w:p w14:paraId="005A74F5" w14:textId="77777777">
      <w:pPr>
        <w:pBdr/>
        <w:spacing/>
        <w:ind/>
        <w:jc w:val="both"/>
        <w:rPr>
          <w:rFonts w:ascii="Arial" w:hAnsi="Arial" w:cs="Arial"/>
        </w:rPr>
      </w:pPr>
      <w:r>
        <w:rPr>
          <w:rFonts w:ascii="Arial" w:hAnsi="Arial" w:cs="Arial"/>
        </w:rPr>
      </w:r>
      <w:r>
        <w:rPr>
          <w:rFonts w:ascii="Arial" w:hAnsi="Arial" w:cs="Arial"/>
        </w:rPr>
      </w:r>
    </w:p>
    <w:p w14:paraId="29458EB5" w14:textId="77777777">
      <w:pPr>
        <w:pBdr/>
        <w:spacing/>
        <w:ind/>
        <w:jc w:val="both"/>
        <w:rPr>
          <w:rFonts w:ascii="Arial" w:hAnsi="Arial" w:cs="Arial"/>
        </w:rPr>
      </w:pPr>
      <w:r>
        <w:rPr>
          <w:rFonts w:ascii="Arial" w:hAnsi="Arial" w:cs="Arial"/>
          <w:b/>
        </w:rPr>
        <w:t xml:space="preserve">16.3.1. </w:t>
      </w:r>
      <w:r>
        <w:rPr>
          <w:rFonts w:ascii="Arial" w:hAnsi="Arial" w:cs="Arial"/>
        </w:rPr>
        <w:t xml:space="preserve">A justificativa apresentada seja aceita pela Administração;</w:t>
      </w:r>
      <w:r>
        <w:rPr>
          <w:rFonts w:ascii="Arial" w:hAnsi="Arial" w:cs="Arial"/>
        </w:rPr>
      </w:r>
    </w:p>
    <w:p w14:paraId="6C8075F7" w14:textId="77777777">
      <w:pPr>
        <w:pBdr/>
        <w:spacing/>
        <w:ind/>
        <w:jc w:val="both"/>
        <w:rPr>
          <w:rFonts w:ascii="Arial" w:hAnsi="Arial" w:cs="Arial"/>
        </w:rPr>
      </w:pPr>
      <w:r>
        <w:rPr>
          <w:rFonts w:ascii="Arial" w:hAnsi="Arial" w:cs="Arial"/>
        </w:rPr>
      </w:r>
      <w:r>
        <w:rPr>
          <w:rFonts w:ascii="Arial" w:hAnsi="Arial" w:cs="Arial"/>
        </w:rPr>
      </w:r>
    </w:p>
    <w:p w14:paraId="173A8682" w14:textId="77777777">
      <w:pPr>
        <w:pBdr/>
        <w:spacing/>
        <w:ind/>
        <w:jc w:val="both"/>
        <w:rPr>
          <w:rFonts w:ascii="Arial" w:hAnsi="Arial" w:cs="Arial"/>
        </w:rPr>
      </w:pPr>
      <w:r>
        <w:rPr>
          <w:rFonts w:ascii="Arial" w:hAnsi="Arial" w:cs="Arial"/>
          <w:b/>
        </w:rPr>
        <w:t xml:space="preserve">16.4.</w:t>
      </w:r>
      <w:r>
        <w:rPr>
          <w:rFonts w:ascii="Arial" w:hAnsi="Arial" w:cs="Arial"/>
        </w:rPr>
        <w:t xml:space="preserve"> A ata de registro de preços será assinada por meio de assinatura digital e disponibilizada no sistema de registro de preços;</w:t>
      </w:r>
      <w:r>
        <w:rPr>
          <w:rFonts w:ascii="Arial" w:hAnsi="Arial" w:cs="Arial"/>
        </w:rPr>
      </w:r>
    </w:p>
    <w:p w14:paraId="3B46F3C8" w14:textId="77777777">
      <w:pPr>
        <w:pBdr/>
        <w:spacing/>
        <w:ind/>
        <w:jc w:val="both"/>
        <w:rPr>
          <w:rFonts w:ascii="Arial" w:hAnsi="Arial" w:cs="Arial"/>
        </w:rPr>
      </w:pPr>
      <w:r>
        <w:rPr>
          <w:rFonts w:ascii="Arial" w:hAnsi="Arial" w:cs="Arial"/>
          <w:b/>
        </w:rPr>
        <w:t xml:space="preserve">16.5.</w:t>
      </w:r>
      <w:r>
        <w:rPr>
          <w:rFonts w:ascii="Arial" w:hAnsi="Arial" w:cs="Arial"/>
        </w:rPr>
        <w:t xml:space="preserve"> Serão formalizadas tantas</w:t>
      </w:r>
      <w:r>
        <w:rPr>
          <w:rFonts w:ascii="Arial" w:hAnsi="Arial" w:cs="Arial"/>
        </w:rPr>
        <w:t xml:space="preserve"> Atas de Registro de Preços quantas forem necessárias para o registro de todos os itens constantes no Termo de Referência, com a indicação do licitante vencedor, a descrição do(s) item(ns), as respectivas quantidades, preços registrados e demais condições;</w:t>
      </w:r>
      <w:r>
        <w:rPr>
          <w:rFonts w:ascii="Arial" w:hAnsi="Arial" w:cs="Arial"/>
        </w:rPr>
      </w:r>
    </w:p>
    <w:p w14:paraId="2C030F3B" w14:textId="77777777">
      <w:pPr>
        <w:pBdr/>
        <w:spacing/>
        <w:ind/>
        <w:jc w:val="both"/>
        <w:rPr>
          <w:rFonts w:ascii="Arial" w:hAnsi="Arial" w:cs="Arial"/>
        </w:rPr>
      </w:pPr>
      <w:r>
        <w:rPr>
          <w:rFonts w:ascii="Arial" w:hAnsi="Arial" w:cs="Arial"/>
        </w:rPr>
      </w:r>
      <w:r>
        <w:rPr>
          <w:rFonts w:ascii="Arial" w:hAnsi="Arial" w:cs="Arial"/>
        </w:rPr>
      </w:r>
    </w:p>
    <w:p w14:paraId="0C6C2088" w14:textId="77777777">
      <w:pPr>
        <w:pBdr/>
        <w:spacing/>
        <w:ind/>
        <w:jc w:val="both"/>
        <w:rPr>
          <w:rFonts w:ascii="Arial" w:hAnsi="Arial" w:cs="Arial"/>
        </w:rPr>
      </w:pPr>
      <w:r>
        <w:rPr>
          <w:rFonts w:ascii="Arial" w:hAnsi="Arial" w:cs="Arial"/>
          <w:b/>
        </w:rPr>
        <w:t xml:space="preserve">16.6.</w:t>
      </w:r>
      <w:r>
        <w:rPr>
          <w:rFonts w:ascii="Arial" w:hAnsi="Arial" w:cs="Arial"/>
        </w:rPr>
        <w:t xml:space="preserve"> O preço registrado, com a indicação dos fornecedores, será divulgado no DIORONDON e disponibilizado durante a vigência da ata de registro de preços;</w:t>
      </w:r>
      <w:r>
        <w:rPr>
          <w:rFonts w:ascii="Arial" w:hAnsi="Arial" w:cs="Arial"/>
        </w:rPr>
      </w:r>
    </w:p>
    <w:p w14:paraId="2B28A992" w14:textId="77777777">
      <w:pPr>
        <w:pBdr/>
        <w:spacing/>
        <w:ind/>
        <w:jc w:val="both"/>
        <w:rPr>
          <w:rFonts w:ascii="Arial" w:hAnsi="Arial" w:cs="Arial"/>
        </w:rPr>
      </w:pPr>
      <w:r>
        <w:rPr>
          <w:rFonts w:ascii="Arial" w:hAnsi="Arial" w:cs="Arial"/>
        </w:rPr>
      </w:r>
      <w:r>
        <w:rPr>
          <w:rFonts w:ascii="Arial" w:hAnsi="Arial" w:cs="Arial"/>
        </w:rPr>
      </w:r>
    </w:p>
    <w:p w14:paraId="51FE074D" w14:textId="77777777">
      <w:pPr>
        <w:pBdr/>
        <w:spacing/>
        <w:ind/>
        <w:jc w:val="both"/>
        <w:rPr>
          <w:rFonts w:ascii="Arial" w:hAnsi="Arial" w:cs="Arial"/>
        </w:rPr>
      </w:pPr>
      <w:r>
        <w:rPr>
          <w:rFonts w:ascii="Arial" w:hAnsi="Arial" w:cs="Arial"/>
          <w:b/>
        </w:rPr>
        <w:t xml:space="preserve">16.7.</w:t>
      </w:r>
      <w:r>
        <w:rPr>
          <w:rFonts w:ascii="Arial" w:hAnsi="Arial" w:cs="Arial"/>
        </w:rPr>
        <w:t xml:space="preserve"> A </w:t>
      </w:r>
      <w:r>
        <w:rPr>
          <w:rFonts w:ascii="Arial" w:hAnsi="Arial" w:cs="Arial"/>
        </w:rPr>
        <w:t xml:space="preserve">existência de preços registrados implicará compromisso de fornecimento nas condições estabelecidas, mas não obrigará a Administração a contratar, facultada a realização de licitação específica para a aquisição pretendida, desde que devidamente justificada;</w:t>
      </w:r>
      <w:r>
        <w:rPr>
          <w:rFonts w:ascii="Arial" w:hAnsi="Arial" w:cs="Arial"/>
        </w:rPr>
      </w:r>
    </w:p>
    <w:p w14:paraId="196AF6D5" w14:textId="77777777">
      <w:pPr>
        <w:pBdr/>
        <w:spacing/>
        <w:ind/>
        <w:jc w:val="both"/>
        <w:rPr>
          <w:rFonts w:ascii="Arial" w:hAnsi="Arial" w:cs="Arial"/>
        </w:rPr>
      </w:pPr>
      <w:r>
        <w:rPr>
          <w:rFonts w:ascii="Arial" w:hAnsi="Arial" w:cs="Arial"/>
          <w:b/>
        </w:rPr>
        <w:t xml:space="preserve">16.8.</w:t>
      </w:r>
      <w:r>
        <w:rPr>
          <w:rFonts w:ascii="Arial" w:hAnsi="Arial" w:cs="Arial"/>
        </w:rPr>
        <w:t xml:space="preserve"> Na hipótese de o convocado não assinar a ata de reg</w:t>
      </w:r>
      <w:r>
        <w:rPr>
          <w:rFonts w:ascii="Arial" w:hAnsi="Arial" w:cs="Arial"/>
        </w:rPr>
        <w:t xml:space="preserve">istro de preços no prazo e nas condições estabelecidas, fica facultado à Administração convocar os licitantes remanescentes do cadastro de reserva, na ordem de classificação, para fazê-lo em igual prazo e nas condições propostas pelo primeiro classificado;</w:t>
      </w:r>
      <w:r>
        <w:rPr>
          <w:rFonts w:ascii="Arial" w:hAnsi="Arial" w:cs="Arial"/>
        </w:rPr>
      </w:r>
    </w:p>
    <w:p w14:paraId="378C0566" w14:textId="77777777">
      <w:pPr>
        <w:pBdr/>
        <w:spacing/>
        <w:ind/>
        <w:jc w:val="both"/>
        <w:rPr>
          <w:rFonts w:ascii="Arial" w:hAnsi="Arial" w:cs="Arial"/>
        </w:rPr>
      </w:pPr>
      <w:r>
        <w:rPr>
          <w:rFonts w:ascii="Arial" w:hAnsi="Arial" w:cs="Arial"/>
        </w:rPr>
      </w:r>
      <w:r>
        <w:rPr>
          <w:rFonts w:ascii="Arial" w:hAnsi="Arial" w:cs="Arial"/>
        </w:rPr>
      </w:r>
    </w:p>
    <w:p w14:paraId="11B7E07E" w14:textId="77777777">
      <w:pPr>
        <w:pBdr/>
        <w:spacing/>
        <w:ind/>
        <w:jc w:val="both"/>
        <w:rPr>
          <w:rFonts w:ascii="Arial" w:hAnsi="Arial" w:cs="Arial"/>
        </w:rPr>
      </w:pPr>
      <w:r>
        <w:rPr>
          <w:rFonts w:ascii="Arial" w:hAnsi="Arial" w:cs="Arial"/>
          <w:b/>
          <w:bCs/>
        </w:rPr>
        <w:t xml:space="preserve">16.9. </w:t>
      </w:r>
      <w:r>
        <w:rPr>
          <w:rFonts w:ascii="Arial" w:hAnsi="Arial" w:cs="Arial"/>
        </w:rPr>
        <w:t xml:space="preserve">Serão formalizadas t</w:t>
      </w:r>
      <w:r>
        <w:rPr>
          <w:rFonts w:ascii="Arial" w:hAnsi="Arial" w:cs="Arial"/>
        </w:rPr>
        <w:t xml:space="preserve">antas Atas de Registro de Preços quanto necessárias para o registro de todos os itens constantes no Termo de Referência, com a indicação do licitante vencedor, a descrição do (s) item (ns), as respectivas quantidades, preços registrados e demais condições.</w:t>
      </w:r>
      <w:r>
        <w:rPr>
          <w:rFonts w:ascii="Arial" w:hAnsi="Arial" w:cs="Arial"/>
        </w:rPr>
      </w:r>
    </w:p>
    <w:p w14:paraId="562BEB5C" w14:textId="77777777">
      <w:pPr>
        <w:pBdr/>
        <w:spacing/>
        <w:ind/>
        <w:jc w:val="both"/>
        <w:rPr>
          <w:rFonts w:ascii="Arial" w:hAnsi="Arial" w:cs="Arial"/>
        </w:rPr>
      </w:pPr>
      <w:r>
        <w:rPr>
          <w:rFonts w:ascii="Arial" w:hAnsi="Arial" w:cs="Arial"/>
        </w:rPr>
      </w:r>
      <w:r>
        <w:rPr>
          <w:rFonts w:ascii="Arial" w:hAnsi="Arial" w:cs="Arial"/>
        </w:rPr>
      </w:r>
    </w:p>
    <w:p w14:paraId="6DF0FAFE" w14:textId="77777777">
      <w:pPr>
        <w:pBdr/>
        <w:spacing/>
        <w:ind/>
        <w:jc w:val="both"/>
        <w:rPr>
          <w:rFonts w:ascii="Arial" w:hAnsi="Arial" w:cs="Arial"/>
          <w:u w:val="single"/>
        </w:rPr>
      </w:pPr>
      <w:r>
        <w:rPr>
          <w:rFonts w:ascii="Arial" w:hAnsi="Arial" w:cs="Arial"/>
          <w:b/>
          <w:color w:val="000000"/>
          <w:u w:val="single"/>
        </w:rPr>
        <w:t xml:space="preserve">16.10.</w:t>
      </w:r>
      <w:r>
        <w:rPr>
          <w:rFonts w:ascii="Arial" w:hAnsi="Arial" w:cs="Arial"/>
          <w:color w:val="000000"/>
          <w:u w:val="single"/>
        </w:rPr>
        <w:t xml:space="preserve"> Em conformidade com o disposto no Decreto Municipal nº 11.685/2023, especialmente após a alteração promovida pelo art. 1º, que conferiu nova redação ao art. 303 do Decreto Municipal n.º 11.685, a vigência da Ata de Registro de Preços será de 01 (um) ano, </w:t>
      </w:r>
      <w:r>
        <w:rPr>
          <w:rFonts w:ascii="Arial" w:hAnsi="Arial" w:cs="Arial"/>
          <w:color w:val="000000"/>
          <w:u w:val="single"/>
        </w:rPr>
        <w:t xml:space="preserve">podendo ser prorrogada por igual período, desde que comprovada a vantajosidade dos preços registrados para a Administração. Ainda, nos termos do §2º-A do referido artigo, havendo prorrogação da vigência da Ata, fica autorizada a renovação do quantitativo o</w:t>
      </w:r>
      <w:r>
        <w:rPr>
          <w:rFonts w:ascii="Arial" w:hAnsi="Arial" w:cs="Arial"/>
          <w:color w:val="000000"/>
          <w:u w:val="single"/>
        </w:rPr>
        <w:t xml:space="preserve">riginalmente registrado, mediante comprovação de que os preços permanecem vantajosos e desde que haja anuência expressa do fornecedor detentor do registro.</w:t>
      </w:r>
      <w:r>
        <w:rPr>
          <w:rFonts w:ascii="Arial" w:hAnsi="Arial" w:cs="Arial"/>
          <w:u w:val="single"/>
        </w:rPr>
      </w:r>
    </w:p>
    <w:p w14:paraId="50D9C28E" w14:textId="77777777">
      <w:pPr>
        <w:pBdr/>
        <w:spacing/>
        <w:ind/>
        <w:jc w:val="both"/>
        <w:rPr>
          <w:rFonts w:ascii="Arial" w:hAnsi="Arial" w:cs="Arial"/>
        </w:rPr>
      </w:pPr>
      <w:r>
        <w:rPr>
          <w:rFonts w:ascii="Arial" w:hAnsi="Arial" w:cs="Arial"/>
        </w:rPr>
      </w:r>
      <w:r>
        <w:rPr>
          <w:rFonts w:ascii="Arial" w:hAnsi="Arial" w:cs="Arial"/>
        </w:rPr>
      </w:r>
    </w:p>
    <w:p w14:paraId="4D09AB29" w14:textId="77777777">
      <w:pPr>
        <w:pBdr/>
        <w:spacing/>
        <w:ind/>
        <w:rPr>
          <w:rFonts w:ascii="Arial" w:hAnsi="Arial" w:cs="Arial"/>
        </w:rPr>
      </w:pPr>
      <w:r>
        <w:rPr>
          <w:rFonts w:ascii="Arial" w:hAnsi="Arial" w:cs="Arial"/>
          <w:b/>
          <w:bCs/>
          <w:color w:val="000000"/>
        </w:rPr>
        <w:t xml:space="preserve">16.10. DA FORMAÇÃO DO CADASTRO DE RESERVA:</w:t>
      </w:r>
      <w:r>
        <w:rPr>
          <w:rFonts w:ascii="Arial" w:hAnsi="Arial" w:cs="Arial"/>
        </w:rPr>
      </w:r>
    </w:p>
    <w:p w14:paraId="06F81B1D" w14:textId="77777777">
      <w:pPr>
        <w:pBdr/>
        <w:spacing/>
        <w:ind/>
        <w:rPr>
          <w:rFonts w:ascii="Arial" w:hAnsi="Arial" w:cs="Arial"/>
          <w:b/>
          <w:bCs/>
          <w:color w:val="000000"/>
        </w:rPr>
      </w:pPr>
      <w:r>
        <w:rPr>
          <w:rFonts w:ascii="Arial" w:hAnsi="Arial" w:cs="Arial"/>
          <w:b/>
          <w:bCs/>
          <w:color w:val="000000"/>
        </w:rPr>
      </w:r>
      <w:r>
        <w:rPr>
          <w:rFonts w:ascii="Arial" w:hAnsi="Arial" w:cs="Arial"/>
          <w:b/>
          <w:bCs/>
          <w:color w:val="000000"/>
        </w:rPr>
      </w:r>
    </w:p>
    <w:p w14:paraId="7734EB7E" w14:textId="77777777">
      <w:pPr>
        <w:pBdr/>
        <w:spacing/>
        <w:ind/>
        <w:jc w:val="both"/>
        <w:rPr>
          <w:rFonts w:ascii="Arial" w:hAnsi="Arial" w:cs="Arial"/>
        </w:rPr>
      </w:pPr>
      <w:r>
        <w:rPr>
          <w:rFonts w:ascii="Arial" w:hAnsi="Arial" w:cs="Arial"/>
          <w:b/>
        </w:rPr>
        <w:t xml:space="preserve">16.10.1.</w:t>
      </w:r>
      <w:r>
        <w:rPr>
          <w:rFonts w:ascii="Arial" w:hAnsi="Arial" w:cs="Arial"/>
        </w:rPr>
        <w:t xml:space="preserve"> Após a homologação da licitação, será incluído na ata, na forma de anexo, o registro:</w:t>
      </w:r>
      <w:r>
        <w:rPr>
          <w:rFonts w:ascii="Arial" w:hAnsi="Arial" w:cs="Arial"/>
        </w:rPr>
      </w:r>
    </w:p>
    <w:p w14:paraId="443B374F" w14:textId="77777777">
      <w:pPr>
        <w:pBdr/>
        <w:spacing/>
        <w:ind/>
        <w:jc w:val="both"/>
        <w:rPr>
          <w:rFonts w:ascii="Arial" w:hAnsi="Arial" w:cs="Arial"/>
        </w:rPr>
      </w:pPr>
      <w:r>
        <w:rPr>
          <w:rFonts w:ascii="Arial" w:hAnsi="Arial" w:cs="Arial"/>
        </w:rPr>
      </w:r>
      <w:r>
        <w:rPr>
          <w:rFonts w:ascii="Arial" w:hAnsi="Arial" w:cs="Arial"/>
        </w:rPr>
      </w:r>
    </w:p>
    <w:p w14:paraId="2EC5B954" w14:textId="77777777">
      <w:pPr>
        <w:pBdr/>
        <w:spacing/>
        <w:ind/>
        <w:jc w:val="both"/>
        <w:rPr>
          <w:rFonts w:ascii="Arial" w:hAnsi="Arial" w:cs="Arial"/>
        </w:rPr>
      </w:pPr>
      <w:r>
        <w:rPr>
          <w:rFonts w:ascii="Arial" w:hAnsi="Arial" w:cs="Arial"/>
          <w:b/>
        </w:rPr>
        <w:t xml:space="preserve">16.10.1.1.</w:t>
      </w:r>
      <w:r>
        <w:rPr>
          <w:rFonts w:ascii="Arial" w:hAnsi="Arial" w:cs="Arial"/>
        </w:rPr>
        <w:t xml:space="preserve"> Dos licitantes </w:t>
      </w:r>
      <w:bookmarkStart w:id="26" w:name="_Hlk132991372"/>
      <w:r>
        <w:rPr>
          <w:rFonts w:ascii="Arial" w:hAnsi="Arial" w:cs="Arial"/>
        </w:rPr>
        <w:t xml:space="preserve">que </w:t>
      </w:r>
      <w:bookmarkStart w:id="27" w:name="_Hlk132989696"/>
      <w:r>
        <w:rPr>
          <w:rFonts w:ascii="Arial" w:hAnsi="Arial" w:cs="Arial"/>
        </w:rPr>
        <w:t xml:space="preserve">aceitarem cotar o objeto com preço igual ao do adjudicatári</w:t>
      </w:r>
      <w:bookmarkEnd w:id="26"/>
      <w:r>
        <w:rPr>
          <w:rFonts w:ascii="Arial" w:hAnsi="Arial" w:cs="Arial"/>
        </w:rPr>
        <w:t xml:space="preserve">o</w:t>
      </w:r>
      <w:bookmarkEnd w:id="27"/>
      <w:r>
        <w:rPr>
          <w:rFonts w:ascii="Arial" w:hAnsi="Arial" w:cs="Arial"/>
        </w:rPr>
        <w:t xml:space="preserve">, observada a classificação na licitação; e </w:t>
      </w:r>
      <w:r>
        <w:rPr>
          <w:rFonts w:ascii="Arial" w:hAnsi="Arial" w:cs="Arial"/>
        </w:rPr>
      </w:r>
    </w:p>
    <w:p w14:paraId="72638702" w14:textId="77777777">
      <w:pPr>
        <w:pBdr/>
        <w:spacing/>
        <w:ind/>
        <w:jc w:val="both"/>
        <w:rPr>
          <w:rFonts w:ascii="Arial" w:hAnsi="Arial" w:cs="Arial"/>
          <w:b/>
        </w:rPr>
      </w:pPr>
      <w:r>
        <w:rPr>
          <w:rFonts w:ascii="Arial" w:hAnsi="Arial" w:cs="Arial"/>
          <w:b/>
        </w:rPr>
      </w:r>
      <w:r>
        <w:rPr>
          <w:rFonts w:ascii="Arial" w:hAnsi="Arial" w:cs="Arial"/>
          <w:b/>
        </w:rPr>
      </w:r>
    </w:p>
    <w:p w14:paraId="6F3F3A1B" w14:textId="77777777">
      <w:pPr>
        <w:pBdr/>
        <w:spacing/>
        <w:ind/>
        <w:jc w:val="both"/>
        <w:rPr>
          <w:rFonts w:ascii="Arial" w:hAnsi="Arial" w:cs="Arial"/>
        </w:rPr>
      </w:pPr>
      <w:r>
        <w:rPr>
          <w:rFonts w:ascii="Arial" w:hAnsi="Arial" w:cs="Arial"/>
          <w:b/>
        </w:rPr>
        <w:t xml:space="preserve">16.10.1.2.</w:t>
      </w:r>
      <w:r>
        <w:rPr>
          <w:rFonts w:ascii="Arial" w:hAnsi="Arial" w:cs="Arial"/>
        </w:rPr>
        <w:t xml:space="preserve"> Dos licitantes que mantiverem sua proposta original;</w:t>
      </w:r>
      <w:r>
        <w:rPr>
          <w:rFonts w:ascii="Arial" w:hAnsi="Arial" w:cs="Arial"/>
        </w:rPr>
      </w:r>
    </w:p>
    <w:p w14:paraId="67A50AAD" w14:textId="77777777">
      <w:pPr>
        <w:pBdr/>
        <w:spacing/>
        <w:ind/>
        <w:jc w:val="both"/>
        <w:rPr>
          <w:rFonts w:ascii="Arial" w:hAnsi="Arial" w:cs="Arial"/>
        </w:rPr>
      </w:pPr>
      <w:r>
        <w:rPr>
          <w:rFonts w:ascii="Arial" w:hAnsi="Arial" w:eastAsia="Arial" w:cs="Arial"/>
        </w:rPr>
        <w:t xml:space="preserve">          </w:t>
      </w:r>
      <w:r>
        <w:rPr>
          <w:rFonts w:ascii="Arial" w:hAnsi="Arial" w:cs="Arial"/>
        </w:rPr>
      </w:r>
    </w:p>
    <w:p w14:paraId="41978C34" w14:textId="77777777">
      <w:pPr>
        <w:pBdr/>
        <w:spacing/>
        <w:ind/>
        <w:jc w:val="both"/>
        <w:rPr>
          <w:rFonts w:ascii="Arial" w:hAnsi="Arial" w:cs="Arial"/>
        </w:rPr>
      </w:pPr>
      <w:r>
        <w:rPr>
          <w:rFonts w:ascii="Arial" w:hAnsi="Arial" w:cs="Arial"/>
          <w:b/>
        </w:rPr>
        <w:t xml:space="preserve">16.10.2.</w:t>
      </w:r>
      <w:r>
        <w:rPr>
          <w:rFonts w:ascii="Arial" w:hAnsi="Arial" w:cs="Arial"/>
        </w:rPr>
        <w:t xml:space="preserve"> Será respeitada, nas contratações, a ordem de classificação dos licitantes ou fornecedores registrados na ata;</w:t>
      </w:r>
      <w:r>
        <w:rPr>
          <w:rFonts w:ascii="Arial" w:hAnsi="Arial" w:cs="Arial"/>
        </w:rPr>
      </w:r>
    </w:p>
    <w:p w14:paraId="6DEA7C4E" w14:textId="77777777">
      <w:pPr>
        <w:pBdr/>
        <w:spacing/>
        <w:ind/>
        <w:jc w:val="both"/>
        <w:rPr>
          <w:rFonts w:ascii="Arial" w:hAnsi="Arial" w:cs="Arial"/>
        </w:rPr>
      </w:pPr>
      <w:r>
        <w:rPr>
          <w:rFonts w:ascii="Arial" w:hAnsi="Arial" w:cs="Arial"/>
        </w:rPr>
      </w:r>
      <w:r>
        <w:rPr>
          <w:rFonts w:ascii="Arial" w:hAnsi="Arial" w:cs="Arial"/>
        </w:rPr>
      </w:r>
    </w:p>
    <w:p w14:paraId="57AFBF3C" w14:textId="77777777">
      <w:pPr>
        <w:pBdr/>
        <w:spacing/>
        <w:ind/>
        <w:jc w:val="both"/>
        <w:rPr>
          <w:rFonts w:ascii="Arial" w:hAnsi="Arial" w:cs="Arial"/>
        </w:rPr>
      </w:pPr>
      <w:r>
        <w:rPr>
          <w:rFonts w:ascii="Arial" w:hAnsi="Arial" w:cs="Arial"/>
          <w:b/>
        </w:rPr>
        <w:t xml:space="preserve">16.10.2.1.</w:t>
      </w:r>
      <w:r>
        <w:rPr>
          <w:rFonts w:ascii="Arial" w:hAnsi="Arial" w:cs="Arial"/>
        </w:rPr>
        <w:t xml:space="preserve"> A apresentação de novas propostas na forma deste item não prejudicará o resultado do certame em relação ao licitante melhor classificado;</w:t>
      </w:r>
      <w:r>
        <w:rPr>
          <w:rFonts w:ascii="Arial" w:hAnsi="Arial" w:cs="Arial"/>
        </w:rPr>
      </w:r>
    </w:p>
    <w:p w14:paraId="0C48473A" w14:textId="77777777">
      <w:pPr>
        <w:pBdr/>
        <w:spacing/>
        <w:ind/>
        <w:jc w:val="both"/>
        <w:rPr>
          <w:rFonts w:ascii="Arial" w:hAnsi="Arial" w:cs="Arial"/>
        </w:rPr>
      </w:pPr>
      <w:r>
        <w:rPr>
          <w:rFonts w:ascii="Arial" w:hAnsi="Arial" w:cs="Arial"/>
        </w:rPr>
      </w:r>
      <w:r>
        <w:rPr>
          <w:rFonts w:ascii="Arial" w:hAnsi="Arial" w:cs="Arial"/>
        </w:rPr>
      </w:r>
    </w:p>
    <w:p w14:paraId="4BE13B29" w14:textId="77777777">
      <w:pPr>
        <w:pBdr/>
        <w:spacing/>
        <w:ind/>
        <w:jc w:val="both"/>
        <w:rPr>
          <w:rFonts w:ascii="Arial" w:hAnsi="Arial" w:cs="Arial"/>
        </w:rPr>
      </w:pPr>
      <w:r>
        <w:rPr>
          <w:rFonts w:ascii="Arial" w:hAnsi="Arial" w:cs="Arial"/>
          <w:b/>
        </w:rPr>
        <w:t xml:space="preserve">16.10.2.2.</w:t>
      </w:r>
      <w:r>
        <w:rPr>
          <w:rFonts w:ascii="Arial" w:hAnsi="Arial" w:cs="Arial"/>
        </w:rPr>
        <w:t xml:space="preserve"> Para fins da ordem de classificação, os licitantes ou fornecedores que aceitarem cotar o objeto com preço igual ao do adjudicatário antecederão aqueles que mantiverem sua proposta original;</w:t>
      </w:r>
      <w:r>
        <w:rPr>
          <w:rFonts w:ascii="Arial" w:hAnsi="Arial" w:cs="Arial"/>
        </w:rPr>
      </w:r>
    </w:p>
    <w:p w14:paraId="1AA76B7D" w14:textId="77777777">
      <w:pPr>
        <w:pBdr/>
        <w:spacing/>
        <w:ind/>
        <w:jc w:val="both"/>
        <w:rPr>
          <w:rFonts w:ascii="Arial" w:hAnsi="Arial" w:cs="Arial"/>
          <w:b/>
        </w:rPr>
      </w:pPr>
      <w:r>
        <w:rPr>
          <w:rFonts w:ascii="Arial" w:hAnsi="Arial" w:cs="Arial"/>
          <w:b/>
        </w:rPr>
      </w:r>
      <w:r>
        <w:rPr>
          <w:rFonts w:ascii="Arial" w:hAnsi="Arial" w:cs="Arial"/>
          <w:b/>
        </w:rPr>
      </w:r>
    </w:p>
    <w:p w14:paraId="23D35ADA" w14:textId="77777777">
      <w:pPr>
        <w:pBdr/>
        <w:spacing/>
        <w:ind/>
        <w:jc w:val="both"/>
        <w:rPr>
          <w:rFonts w:ascii="Arial" w:hAnsi="Arial" w:cs="Arial"/>
        </w:rPr>
      </w:pPr>
      <w:r>
        <w:rPr>
          <w:rFonts w:ascii="Arial" w:hAnsi="Arial" w:cs="Arial"/>
          <w:b/>
        </w:rPr>
        <w:t xml:space="preserve">16.10.3.</w:t>
      </w:r>
      <w:r>
        <w:rPr>
          <w:rFonts w:ascii="Arial" w:hAnsi="Arial" w:cs="Arial"/>
        </w:rPr>
        <w:t xml:space="preserve"> A habilitação dos licitantes que comporão o cadastro de reserva será efetuada quando houver necessidade de contratação dos licitantes remanescentes, nas seguintes hipóteses:</w:t>
      </w:r>
      <w:r>
        <w:rPr>
          <w:rFonts w:ascii="Arial" w:hAnsi="Arial" w:cs="Arial"/>
        </w:rPr>
      </w:r>
    </w:p>
    <w:p w14:paraId="7E5118C3" w14:textId="77777777">
      <w:pPr>
        <w:pBdr/>
        <w:spacing/>
        <w:ind/>
        <w:jc w:val="both"/>
        <w:rPr>
          <w:rFonts w:ascii="Arial" w:hAnsi="Arial" w:cs="Arial"/>
        </w:rPr>
      </w:pPr>
      <w:r>
        <w:rPr>
          <w:rFonts w:ascii="Arial" w:hAnsi="Arial" w:cs="Arial"/>
        </w:rPr>
      </w:r>
      <w:r>
        <w:rPr>
          <w:rFonts w:ascii="Arial" w:hAnsi="Arial" w:cs="Arial"/>
        </w:rPr>
      </w:r>
    </w:p>
    <w:p w14:paraId="082FDA31" w14:textId="77777777">
      <w:pPr>
        <w:pBdr/>
        <w:spacing/>
        <w:ind/>
        <w:jc w:val="both"/>
        <w:rPr>
          <w:rFonts w:ascii="Arial" w:hAnsi="Arial" w:cs="Arial"/>
        </w:rPr>
      </w:pPr>
      <w:r>
        <w:rPr>
          <w:rFonts w:ascii="Arial" w:hAnsi="Arial" w:cs="Arial"/>
          <w:b/>
        </w:rPr>
        <w:t xml:space="preserve">16.10.3.1.</w:t>
      </w:r>
      <w:r>
        <w:rPr>
          <w:rFonts w:ascii="Arial" w:hAnsi="Arial" w:cs="Arial"/>
        </w:rPr>
        <w:t xml:space="preserve"> Quando o licitante vencedor não assinar a ata de registro de preços no prazo e nas condições estabelecidos no edital; ou</w:t>
      </w:r>
      <w:r>
        <w:rPr>
          <w:rFonts w:ascii="Arial" w:hAnsi="Arial" w:cs="Arial"/>
        </w:rPr>
      </w:r>
    </w:p>
    <w:p w14:paraId="2ED24C43" w14:textId="77777777">
      <w:pPr>
        <w:pBdr/>
        <w:spacing/>
        <w:ind/>
        <w:jc w:val="both"/>
        <w:rPr>
          <w:rFonts w:ascii="Arial" w:hAnsi="Arial" w:cs="Arial"/>
        </w:rPr>
      </w:pPr>
      <w:r>
        <w:rPr>
          <w:rFonts w:ascii="Arial" w:hAnsi="Arial" w:cs="Arial"/>
        </w:rPr>
      </w:r>
      <w:r>
        <w:rPr>
          <w:rFonts w:ascii="Arial" w:hAnsi="Arial" w:cs="Arial"/>
        </w:rPr>
      </w:r>
    </w:p>
    <w:p w14:paraId="54C48499" w14:textId="77777777">
      <w:pPr>
        <w:pBdr/>
        <w:spacing/>
        <w:ind/>
        <w:jc w:val="both"/>
        <w:rPr>
          <w:rFonts w:ascii="Arial" w:hAnsi="Arial" w:cs="Arial"/>
        </w:rPr>
      </w:pPr>
      <w:r>
        <w:rPr>
          <w:rFonts w:ascii="Arial" w:hAnsi="Arial" w:cs="Arial"/>
          <w:b/>
        </w:rPr>
        <w:t xml:space="preserve">16.10.3.2.</w:t>
      </w:r>
      <w:r>
        <w:rPr>
          <w:rFonts w:ascii="Arial" w:hAnsi="Arial" w:cs="Arial"/>
        </w:rPr>
        <w:t xml:space="preserve"> Quando houver o cancelamento do registro do fornecedor ou do registro de preços;</w:t>
      </w:r>
      <w:r>
        <w:rPr>
          <w:rFonts w:ascii="Arial" w:hAnsi="Arial" w:cs="Arial"/>
        </w:rPr>
      </w:r>
    </w:p>
    <w:p w14:paraId="121FCEC1" w14:textId="77777777">
      <w:pPr>
        <w:pBdr/>
        <w:spacing/>
        <w:ind/>
        <w:jc w:val="both"/>
        <w:rPr>
          <w:rFonts w:ascii="Arial" w:hAnsi="Arial" w:cs="Arial"/>
        </w:rPr>
      </w:pPr>
      <w:r>
        <w:rPr>
          <w:rFonts w:ascii="Arial" w:hAnsi="Arial" w:cs="Arial"/>
        </w:rPr>
      </w:r>
      <w:r>
        <w:rPr>
          <w:rFonts w:ascii="Arial" w:hAnsi="Arial" w:cs="Arial"/>
        </w:rPr>
      </w:r>
    </w:p>
    <w:p w14:paraId="694B8E8A" w14:textId="77777777">
      <w:pPr>
        <w:pBdr/>
        <w:spacing/>
        <w:ind/>
        <w:jc w:val="both"/>
        <w:rPr>
          <w:rFonts w:ascii="Arial" w:hAnsi="Arial" w:cs="Arial"/>
        </w:rPr>
      </w:pPr>
      <w:r>
        <w:rPr>
          <w:rFonts w:ascii="Arial" w:hAnsi="Arial" w:cs="Arial"/>
          <w:b/>
        </w:rPr>
        <w:t xml:space="preserve">16.10.4.</w:t>
      </w:r>
      <w:r>
        <w:rPr>
          <w:rFonts w:ascii="Arial" w:hAnsi="Arial" w:cs="Arial"/>
        </w:rPr>
        <w:t xml:space="preserve"> Na hipótese de nenhum dos licitantes que aceitaram cotar o objet</w:t>
      </w:r>
      <w:r>
        <w:rPr>
          <w:rFonts w:ascii="Arial" w:hAnsi="Arial" w:cs="Arial"/>
        </w:rPr>
        <w:t xml:space="preserve">o com preço igual ao do adjudicatário concordar com a contratação nos termos em igual prazo e nas condições propostas pelo primeiro classificado, a Administração, observados o valor estimado e a sua eventual atualização na forma prevista no edital, poderá:</w:t>
      </w:r>
      <w:r>
        <w:rPr>
          <w:rFonts w:ascii="Arial" w:hAnsi="Arial" w:cs="Arial"/>
        </w:rPr>
      </w:r>
    </w:p>
    <w:p w14:paraId="12A82877" w14:textId="77777777">
      <w:pPr>
        <w:pBdr/>
        <w:spacing/>
        <w:ind/>
        <w:jc w:val="both"/>
        <w:rPr>
          <w:rFonts w:ascii="Arial" w:hAnsi="Arial" w:cs="Arial"/>
        </w:rPr>
      </w:pPr>
      <w:r>
        <w:rPr>
          <w:rFonts w:ascii="Arial" w:hAnsi="Arial" w:cs="Arial"/>
          <w:b/>
        </w:rPr>
        <w:t xml:space="preserve">16.10.4.1. </w:t>
      </w:r>
      <w:r>
        <w:rPr>
          <w:rFonts w:ascii="Arial" w:hAnsi="Arial" w:cs="Arial"/>
        </w:rPr>
        <w:t xml:space="preserve">Convocar os licitantes que mantiveram sua proposta original para negociação, na ordem de classificação, com vistas à obtenção de preço melhor, mesmo que acima do preço do adjudicatário; ou</w:t>
      </w:r>
      <w:r>
        <w:rPr>
          <w:rFonts w:ascii="Arial" w:hAnsi="Arial" w:cs="Arial"/>
        </w:rPr>
      </w:r>
    </w:p>
    <w:p w14:paraId="58251906" w14:textId="77777777">
      <w:pPr>
        <w:pBdr/>
        <w:spacing/>
        <w:ind/>
        <w:jc w:val="both"/>
        <w:rPr>
          <w:rFonts w:ascii="Arial" w:hAnsi="Arial" w:cs="Arial"/>
          <w:b/>
        </w:rPr>
      </w:pPr>
      <w:r>
        <w:rPr>
          <w:rFonts w:ascii="Arial" w:hAnsi="Arial" w:cs="Arial"/>
          <w:b/>
        </w:rPr>
      </w:r>
      <w:r>
        <w:rPr>
          <w:rFonts w:ascii="Arial" w:hAnsi="Arial" w:cs="Arial"/>
          <w:b/>
        </w:rPr>
      </w:r>
    </w:p>
    <w:p w14:paraId="223DD313" w14:textId="77777777">
      <w:pPr>
        <w:pBdr/>
        <w:spacing/>
        <w:ind/>
        <w:jc w:val="both"/>
        <w:rPr>
          <w:rFonts w:ascii="Arial" w:hAnsi="Arial" w:cs="Arial"/>
        </w:rPr>
      </w:pPr>
      <w:r>
        <w:rPr>
          <w:rFonts w:ascii="Arial" w:hAnsi="Arial" w:cs="Arial"/>
          <w:b/>
        </w:rPr>
        <w:t xml:space="preserve">16.10.4.2. </w:t>
      </w:r>
      <w:r>
        <w:rPr>
          <w:rFonts w:ascii="Arial" w:hAnsi="Arial" w:cs="Arial"/>
        </w:rPr>
        <w:t xml:space="preserve">Adjudicar e firmar o contrato nas condições ofertadas pelos licitantes remanescentes, observada a ordem de classificação, quando frustrada a negociação de melhor condição.</w:t>
      </w:r>
      <w:r>
        <w:rPr>
          <w:rFonts w:ascii="Arial" w:hAnsi="Arial" w:cs="Arial"/>
        </w:rPr>
      </w:r>
    </w:p>
    <w:p w14:paraId="38D735DA" w14:textId="77777777">
      <w:pPr>
        <w:pBdr/>
        <w:spacing/>
        <w:ind/>
        <w:jc w:val="both"/>
        <w:rPr>
          <w:rFonts w:ascii="Arial" w:hAnsi="Arial" w:cs="Arial"/>
          <w:b/>
          <w:color w:val="000000"/>
        </w:rPr>
      </w:pPr>
      <w:r>
        <w:rPr>
          <w:rFonts w:ascii="Arial" w:hAnsi="Arial" w:cs="Arial"/>
          <w:b/>
          <w:color w:val="000000"/>
        </w:rPr>
      </w:r>
      <w:r>
        <w:rPr>
          <w:rFonts w:ascii="Arial" w:hAnsi="Arial" w:cs="Arial"/>
          <w:b/>
          <w:color w:val="000000"/>
        </w:rPr>
      </w:r>
    </w:p>
    <w:p w14:paraId="3339BDA5" w14:textId="77777777">
      <w:pPr>
        <w:pBdr/>
        <w:spacing/>
        <w:ind/>
        <w:jc w:val="both"/>
        <w:rPr>
          <w:rFonts w:ascii="Arial" w:hAnsi="Arial" w:cs="Arial"/>
        </w:rPr>
      </w:pPr>
      <w:r>
        <w:rPr>
          <w:rFonts w:ascii="Arial" w:hAnsi="Arial" w:cs="Arial"/>
          <w:b/>
          <w:color w:val="000000"/>
        </w:rPr>
        <w:t xml:space="preserve">16.11. DA MOTIVAÇÃO PARA NÃO ADESÃO A ARP ("CARONA"):</w:t>
      </w:r>
      <w:r>
        <w:rPr>
          <w:rFonts w:ascii="Arial" w:hAnsi="Arial" w:cs="Arial"/>
        </w:rPr>
      </w:r>
    </w:p>
    <w:p w14:paraId="492D276D" w14:textId="77777777">
      <w:pPr>
        <w:pBdr/>
        <w:spacing/>
        <w:ind/>
        <w:jc w:val="both"/>
        <w:rPr>
          <w:rFonts w:ascii="Arial" w:hAnsi="Arial" w:cs="Arial"/>
          <w:b/>
          <w:color w:val="000000"/>
        </w:rPr>
      </w:pPr>
      <w:r>
        <w:rPr>
          <w:rFonts w:ascii="Arial" w:hAnsi="Arial" w:cs="Arial"/>
          <w:b/>
          <w:color w:val="000000"/>
        </w:rPr>
      </w:r>
      <w:r>
        <w:rPr>
          <w:rFonts w:ascii="Arial" w:hAnsi="Arial" w:cs="Arial"/>
          <w:b/>
          <w:color w:val="000000"/>
        </w:rPr>
      </w:r>
    </w:p>
    <w:p w14:paraId="644E5B2F" w14:textId="77777777">
      <w:pPr>
        <w:pBdr/>
        <w:spacing/>
        <w:ind/>
        <w:jc w:val="both"/>
        <w:rPr>
          <w:rFonts w:ascii="Arial" w:hAnsi="Arial" w:cs="Arial"/>
        </w:rPr>
      </w:pPr>
      <w:r>
        <w:rPr>
          <w:rFonts w:ascii="Arial" w:hAnsi="Arial" w:cs="Arial"/>
          <w:b/>
          <w:color w:val="000000"/>
        </w:rPr>
        <w:t xml:space="preserve">16.11.1.</w:t>
      </w:r>
      <w:r>
        <w:rPr>
          <w:rFonts w:ascii="Arial" w:hAnsi="Arial" w:cs="Arial"/>
          <w:color w:val="000000"/>
        </w:rPr>
        <w:t xml:space="preserve"> Por falta de justificativa ou motivação por parte das unidades demandantes a clausula foi excluída, conforme orientação do TCU: “A inserção de cláusula em edital licitatório prevendo a possibilidade de adesão a ata de registro de preços por órgãos ou enti</w:t>
      </w:r>
      <w:r>
        <w:rPr>
          <w:rFonts w:ascii="Arial" w:hAnsi="Arial" w:cs="Arial"/>
          <w:color w:val="000000"/>
        </w:rPr>
        <w:t xml:space="preserve">dades não participantes do planejamento da contratação ("carona") exige justificativa específica, lastreada em estudo técnico referente ao objeto licitado e devidamente registrada no documento de planejamento da contratação.” (Acórdão 311/2018-Plenário | R</w:t>
      </w:r>
      <w:r>
        <w:rPr>
          <w:rFonts w:ascii="Arial" w:hAnsi="Arial" w:cs="Arial"/>
          <w:color w:val="000000"/>
        </w:rPr>
        <w:t xml:space="preserve">elator: BRUNO DANTAS).</w:t>
      </w:r>
      <w:r>
        <w:rPr>
          <w:rFonts w:ascii="Arial" w:hAnsi="Arial" w:cs="Arial"/>
        </w:rPr>
      </w:r>
    </w:p>
    <w:p w14:paraId="2D0D0B11" w14:textId="77777777">
      <w:pPr>
        <w:pBdr/>
        <w:spacing/>
        <w:ind/>
        <w:jc w:val="both"/>
        <w:rPr>
          <w:rFonts w:ascii="Arial" w:hAnsi="Arial" w:cs="Arial"/>
          <w:color w:val="000000"/>
          <w:u w:val="single"/>
        </w:rPr>
      </w:pPr>
      <w:r>
        <w:rPr>
          <w:rFonts w:ascii="Arial" w:hAnsi="Arial" w:cs="Arial"/>
          <w:color w:val="000000"/>
          <w:u w:val="single"/>
        </w:rPr>
      </w:r>
      <w:r>
        <w:rPr>
          <w:rFonts w:ascii="Arial" w:hAnsi="Arial" w:cs="Arial"/>
          <w:color w:val="000000"/>
          <w:u w:val="single"/>
        </w:rPr>
      </w:r>
    </w:p>
    <w:p w14:paraId="686E61B7" w14:textId="77777777">
      <w:pPr>
        <w:pBdr/>
        <w:spacing/>
        <w:ind/>
        <w:jc w:val="both"/>
        <w:rPr>
          <w:rFonts w:ascii="Arial" w:hAnsi="Arial" w:cs="Arial"/>
          <w:u w:val="single"/>
        </w:rPr>
      </w:pPr>
      <w:r>
        <w:rPr>
          <w:rFonts w:ascii="Arial" w:hAnsi="Arial" w:cs="Arial"/>
          <w:b/>
          <w:color w:val="000000"/>
          <w:u w:val="single"/>
        </w:rPr>
        <w:t xml:space="preserve">16.11.2.</w:t>
      </w:r>
      <w:r>
        <w:rPr>
          <w:rFonts w:ascii="Arial" w:hAnsi="Arial" w:cs="Arial"/>
          <w:color w:val="000000"/>
          <w:u w:val="single"/>
        </w:rPr>
        <w:t xml:space="preserve"> Fica vedada à participação do órgão ou entidade </w:t>
      </w:r>
      <w:r>
        <w:rPr>
          <w:rFonts w:ascii="Arial" w:hAnsi="Arial" w:cs="Arial"/>
          <w:color w:val="000000"/>
          <w:u w:val="single"/>
        </w:rPr>
        <w:t xml:space="preserve">em mais de uma ata de registro de preços com o mesmo objeto no prazo de validade daquela de que já tiver participado, salvo na ocorrência de ata que tenha registrado quantitativo inferior ao máximo previsto no edital; (Art.82 Inciso VIII, Lei 14.133/2021).</w:t>
      </w:r>
      <w:r>
        <w:rPr>
          <w:rFonts w:ascii="Arial" w:hAnsi="Arial" w:cs="Arial"/>
          <w:u w:val="single"/>
        </w:rPr>
      </w:r>
    </w:p>
    <w:p w14:paraId="6DA7A1D0"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52F79DD3" w14:textId="77777777">
      <w:pPr>
        <w:pBdr/>
        <w:spacing/>
        <w:ind/>
        <w:jc w:val="both"/>
        <w:rPr>
          <w:rFonts w:ascii="Arial" w:hAnsi="Arial" w:eastAsia="Arial" w:cs="Arial"/>
          <w:b/>
        </w:rPr>
      </w:pPr>
      <w:r>
        <w:rPr>
          <w:rFonts w:ascii="Arial" w:hAnsi="Arial" w:eastAsia="Arial" w:cs="Arial"/>
          <w:b/>
        </w:rPr>
        <w:t xml:space="preserve">16.12. DA ALTERAÇÃO DE MARCA E DE PREÇO:</w:t>
      </w:r>
      <w:r>
        <w:rPr>
          <w:rFonts w:ascii="Arial" w:hAnsi="Arial" w:eastAsia="Arial" w:cs="Arial"/>
          <w:b/>
        </w:rPr>
      </w:r>
    </w:p>
    <w:p w14:paraId="006E8BD6" w14:textId="77777777">
      <w:pPr>
        <w:pBdr/>
        <w:spacing/>
        <w:ind/>
        <w:jc w:val="both"/>
        <w:rPr>
          <w:b/>
        </w:rPr>
      </w:pPr>
      <w:r>
        <w:rPr>
          <w:b/>
        </w:rPr>
      </w:r>
      <w:r>
        <w:rPr>
          <w:b/>
        </w:rPr>
      </w:r>
    </w:p>
    <w:p w14:paraId="2BF73E9A" w14:textId="77777777">
      <w:pPr>
        <w:pBdr/>
        <w:spacing/>
        <w:ind/>
        <w:jc w:val="both"/>
        <w:rPr>
          <w:rFonts w:ascii="Arial" w:hAnsi="Arial" w:eastAsia="Arial" w:cs="Arial"/>
        </w:rPr>
      </w:pPr>
      <w:r>
        <w:rPr>
          <w:rFonts w:ascii="Arial" w:hAnsi="Arial" w:eastAsia="Arial" w:cs="Arial"/>
          <w:b/>
        </w:rPr>
        <w:t xml:space="preserve">16.12.1.</w:t>
      </w:r>
      <w:r>
        <w:rPr>
          <w:rFonts w:ascii="Arial" w:hAnsi="Arial" w:eastAsia="Arial" w:cs="Arial"/>
        </w:rPr>
        <w:t xml:space="preserve">  Poderá ser alterada mediante a substituição de marca nas seguintes condições:</w:t>
      </w:r>
      <w:r>
        <w:rPr>
          <w:rFonts w:ascii="Arial" w:hAnsi="Arial" w:eastAsia="Arial" w:cs="Arial"/>
        </w:rPr>
      </w:r>
    </w:p>
    <w:p w14:paraId="472953B7" w14:textId="77777777">
      <w:pPr>
        <w:pBdr/>
        <w:spacing/>
        <w:ind/>
        <w:jc w:val="both"/>
        <w:rPr>
          <w:rFonts w:ascii="Arial" w:hAnsi="Arial" w:eastAsia="Arial" w:cs="Arial"/>
        </w:rPr>
      </w:pPr>
      <w:r>
        <w:rPr>
          <w:rFonts w:ascii="Arial" w:hAnsi="Arial" w:eastAsia="Arial" w:cs="Arial"/>
        </w:rPr>
        <w:t xml:space="preserve"> </w:t>
      </w:r>
      <w:r>
        <w:rPr>
          <w:rFonts w:ascii="Arial" w:hAnsi="Arial" w:eastAsia="Arial" w:cs="Arial"/>
        </w:rPr>
      </w:r>
    </w:p>
    <w:p w14:paraId="177D7A8C" w14:textId="77777777">
      <w:pPr>
        <w:pBdr/>
        <w:spacing/>
        <w:ind w:left="567"/>
        <w:jc w:val="both"/>
        <w:rPr>
          <w:rFonts w:ascii="Arial" w:hAnsi="Arial" w:eastAsia="Arial" w:cs="Arial"/>
        </w:rPr>
      </w:pPr>
      <w:r>
        <w:rPr>
          <w:rFonts w:ascii="Arial" w:hAnsi="Arial" w:eastAsia="Arial" w:cs="Arial"/>
          <w:b/>
        </w:rPr>
        <w:t xml:space="preserve">I </w:t>
      </w:r>
      <w:r>
        <w:rPr>
          <w:rFonts w:ascii="Arial" w:hAnsi="Arial" w:eastAsia="Arial" w:cs="Arial"/>
        </w:rPr>
        <w:t xml:space="preserve">- Por solicitação do Órgão ou do fornecedor, se comprovado que a marca não mais atende às especificações exigidas ou se encontra fora da legislação aplicável;</w:t>
      </w:r>
      <w:r>
        <w:rPr>
          <w:rFonts w:ascii="Arial" w:hAnsi="Arial" w:eastAsia="Arial" w:cs="Arial"/>
        </w:rPr>
      </w:r>
    </w:p>
    <w:p w14:paraId="43D30D99" w14:textId="77777777">
      <w:pPr>
        <w:pBdr/>
        <w:spacing/>
        <w:ind w:left="567"/>
        <w:jc w:val="both"/>
        <w:rPr>
          <w:rFonts w:ascii="Arial" w:hAnsi="Arial" w:eastAsia="Arial" w:cs="Arial"/>
        </w:rPr>
      </w:pPr>
      <w:r>
        <w:rPr>
          <w:rFonts w:ascii="Arial" w:hAnsi="Arial" w:eastAsia="Arial" w:cs="Arial"/>
        </w:rPr>
      </w:r>
      <w:r>
        <w:rPr>
          <w:rFonts w:ascii="Arial" w:hAnsi="Arial" w:eastAsia="Arial" w:cs="Arial"/>
        </w:rPr>
      </w:r>
    </w:p>
    <w:p w14:paraId="12BD7E07" w14:textId="77777777">
      <w:pPr>
        <w:pBdr/>
        <w:spacing/>
        <w:ind w:left="567"/>
        <w:jc w:val="both"/>
        <w:rPr>
          <w:rFonts w:ascii="Arial" w:hAnsi="Arial" w:eastAsia="Arial" w:cs="Arial"/>
        </w:rPr>
      </w:pPr>
      <w:r>
        <w:rPr>
          <w:rFonts w:ascii="Arial" w:hAnsi="Arial" w:eastAsia="Arial" w:cs="Arial"/>
          <w:b/>
        </w:rPr>
        <w:t xml:space="preserve">II</w:t>
      </w:r>
      <w:r>
        <w:rPr>
          <w:rFonts w:ascii="Arial" w:hAnsi="Arial" w:eastAsia="Arial" w:cs="Arial"/>
        </w:rPr>
        <w:t xml:space="preserve"> - Por requerimento do Detentor, que deve ser apreciado pelo Órgão ou Entidade fornecedora, em hipótese que comprove a impossibilidade de fornecimento.</w:t>
      </w:r>
      <w:r>
        <w:rPr>
          <w:rFonts w:ascii="Arial" w:hAnsi="Arial" w:eastAsia="Arial" w:cs="Arial"/>
        </w:rPr>
      </w:r>
    </w:p>
    <w:p w14:paraId="0A98850C" w14:textId="77777777">
      <w:pPr>
        <w:pBdr/>
        <w:spacing/>
        <w:ind/>
        <w:jc w:val="both"/>
        <w:rPr>
          <w:rFonts w:ascii="Arial" w:hAnsi="Arial" w:eastAsia="Arial" w:cs="Arial"/>
        </w:rPr>
      </w:pPr>
      <w:r>
        <w:rPr>
          <w:rFonts w:ascii="Arial" w:hAnsi="Arial" w:eastAsia="Arial" w:cs="Arial"/>
        </w:rPr>
        <w:t xml:space="preserve"> </w:t>
      </w:r>
      <w:r>
        <w:rPr>
          <w:rFonts w:ascii="Arial" w:hAnsi="Arial" w:eastAsia="Arial" w:cs="Arial"/>
        </w:rPr>
      </w:r>
    </w:p>
    <w:p w14:paraId="1834E12C" w14:textId="77777777">
      <w:pPr>
        <w:pBdr/>
        <w:spacing/>
        <w:ind/>
        <w:jc w:val="both"/>
        <w:rPr>
          <w:rFonts w:ascii="Arial" w:hAnsi="Arial" w:eastAsia="Arial" w:cs="Arial"/>
        </w:rPr>
      </w:pPr>
      <w:r>
        <w:rPr>
          <w:rFonts w:ascii="Arial" w:hAnsi="Arial" w:eastAsia="Arial" w:cs="Arial"/>
          <w:b/>
        </w:rPr>
        <w:t xml:space="preserve">16.12.2.</w:t>
      </w:r>
      <w:r>
        <w:rPr>
          <w:rFonts w:ascii="Arial" w:hAnsi="Arial" w:eastAsia="Arial" w:cs="Arial"/>
        </w:rPr>
        <w:t xml:space="preserve"> O Órgão ou Entidade fornecedora somente poderá aquiescer com a substituição requerida pelo Detentor se comprovadamente houver igualdade de condições ou vantagem para o interesse público.</w:t>
      </w:r>
      <w:r>
        <w:rPr>
          <w:rFonts w:ascii="Arial" w:hAnsi="Arial" w:eastAsia="Arial" w:cs="Arial"/>
        </w:rPr>
      </w:r>
    </w:p>
    <w:p w14:paraId="3FAF1739"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3B1AAF10" w14:textId="77777777">
      <w:pPr>
        <w:pBdr/>
        <w:spacing/>
        <w:ind/>
        <w:jc w:val="both"/>
        <w:rPr>
          <w:rFonts w:ascii="Arial" w:hAnsi="Arial" w:eastAsia="Arial" w:cs="Arial"/>
        </w:rPr>
      </w:pPr>
      <w:r>
        <w:rPr>
          <w:rFonts w:ascii="Arial" w:hAnsi="Arial" w:eastAsia="Arial" w:cs="Arial"/>
          <w:b/>
        </w:rPr>
        <w:t xml:space="preserve">16.12.3.</w:t>
      </w:r>
      <w:r>
        <w:rPr>
          <w:rFonts w:ascii="Arial" w:hAnsi="Arial" w:eastAsia="Arial" w:cs="Arial"/>
        </w:rPr>
        <w:t xml:space="preserve"> A substituição de marca implicará em nova análise do produto, conforme previsto no edital, anexos e na legislação aplicável. </w:t>
      </w:r>
      <w:r>
        <w:rPr>
          <w:rFonts w:ascii="Arial" w:hAnsi="Arial" w:eastAsia="Arial" w:cs="Arial"/>
        </w:rPr>
      </w:r>
    </w:p>
    <w:p w14:paraId="09BACBFD"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5E304DD9" w14:textId="77777777">
      <w:pPr>
        <w:pBdr/>
        <w:spacing/>
        <w:ind/>
        <w:jc w:val="both"/>
        <w:rPr>
          <w:rFonts w:ascii="Arial" w:hAnsi="Arial" w:eastAsia="Arial" w:cs="Arial"/>
        </w:rPr>
      </w:pPr>
      <w:r>
        <w:rPr>
          <w:rFonts w:ascii="Arial" w:hAnsi="Arial" w:eastAsia="Arial" w:cs="Arial"/>
          <w:b/>
        </w:rPr>
        <w:t xml:space="preserve">16.12.4.</w:t>
      </w:r>
      <w:r>
        <w:rPr>
          <w:rFonts w:ascii="Arial" w:hAnsi="Arial" w:eastAsia="Arial" w:cs="Arial"/>
        </w:rPr>
        <w:t xml:space="preserve"> A substituição de marca deverá ser publicada obrigatoriamente no DIORONDON.</w:t>
      </w:r>
      <w:r>
        <w:rPr>
          <w:rFonts w:ascii="Arial" w:hAnsi="Arial" w:eastAsia="Arial" w:cs="Arial"/>
        </w:rPr>
      </w:r>
    </w:p>
    <w:p w14:paraId="7E276CB9"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4982EED1" w14:textId="77777777">
      <w:pPr>
        <w:pStyle w:val="882"/>
        <w:pBdr/>
        <w:spacing w:after="0" w:before="0"/>
        <w:ind/>
        <w:rPr>
          <w:sz w:val="20"/>
          <w:szCs w:val="20"/>
          <w:lang w:val="pt-BR"/>
        </w:rPr>
      </w:pPr>
      <w:r/>
      <w:bookmarkStart w:id="28" w:name="_heading=h.nj34dvd9v2e2"/>
      <w:r/>
      <w:bookmarkEnd w:id="28"/>
      <w:r>
        <w:rPr>
          <w:sz w:val="20"/>
          <w:szCs w:val="20"/>
          <w:lang w:val="pt-BR"/>
        </w:rPr>
        <w:t xml:space="preserve">17. DOS RECURSOS SOBRE PROPOSTA, HABILITAÇÃO OU INABILITAÇÃO DE LICITANTES:</w:t>
      </w:r>
      <w:r>
        <w:rPr>
          <w:sz w:val="20"/>
          <w:szCs w:val="20"/>
          <w:lang w:val="pt-BR"/>
        </w:rPr>
      </w:r>
    </w:p>
    <w:p w14:paraId="3F109A46" w14:textId="77777777">
      <w:pPr>
        <w:pBdr/>
        <w:spacing/>
        <w:ind/>
        <w:rPr>
          <w:rFonts w:ascii="Arial" w:hAnsi="Arial" w:eastAsia="Arial" w:cs="Arial"/>
          <w:b/>
        </w:rPr>
      </w:pPr>
      <w:r>
        <w:rPr>
          <w:rFonts w:ascii="Arial" w:hAnsi="Arial" w:eastAsia="Arial" w:cs="Arial"/>
          <w:b/>
        </w:rPr>
      </w:r>
      <w:r>
        <w:rPr>
          <w:rFonts w:ascii="Arial" w:hAnsi="Arial" w:eastAsia="Arial" w:cs="Arial"/>
          <w:b/>
        </w:rPr>
      </w:r>
    </w:p>
    <w:p w14:paraId="7AFB3ACE" w14:textId="77777777">
      <w:pPr>
        <w:pBdr/>
        <w:spacing/>
        <w:ind/>
        <w:jc w:val="both"/>
        <w:rPr>
          <w:rFonts w:ascii="Arial" w:hAnsi="Arial" w:eastAsia="Arial" w:cs="Arial"/>
        </w:rPr>
      </w:pPr>
      <w:r>
        <w:rPr>
          <w:rFonts w:ascii="Arial" w:hAnsi="Arial" w:eastAsia="Arial" w:cs="Arial"/>
          <w:b/>
        </w:rPr>
        <w:t xml:space="preserve">17.1.</w:t>
      </w:r>
      <w:r>
        <w:rPr>
          <w:rFonts w:ascii="Arial" w:hAnsi="Arial" w:eastAsia="Arial" w:cs="Arial"/>
        </w:rPr>
        <w:t xml:space="preserve"> Após a análise da habilitação, o pregoeiro declarará os licitantes habilitados e inabilitados. Qualquer licitante poderá, no prazo de 60 (sessenta) minutos, manifestar sua intenção de recorrer contra o ato de habilitação ou inabilitação;</w:t>
      </w:r>
      <w:r>
        <w:rPr>
          <w:rFonts w:ascii="Arial" w:hAnsi="Arial" w:eastAsia="Arial" w:cs="Arial"/>
        </w:rPr>
      </w:r>
    </w:p>
    <w:p w14:paraId="130BE6B4"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4A9E303A" w14:textId="77777777">
      <w:pPr>
        <w:pBdr/>
        <w:spacing/>
        <w:ind/>
        <w:jc w:val="both"/>
        <w:rPr>
          <w:rFonts w:ascii="Arial" w:hAnsi="Arial" w:eastAsia="Arial" w:cs="Arial"/>
        </w:rPr>
      </w:pPr>
      <w:r>
        <w:rPr>
          <w:rFonts w:ascii="Arial" w:hAnsi="Arial" w:eastAsia="Arial" w:cs="Arial"/>
          <w:b/>
        </w:rPr>
        <w:t xml:space="preserve">17.1.1.</w:t>
      </w:r>
      <w:r>
        <w:rPr>
          <w:rFonts w:ascii="Arial" w:hAnsi="Arial" w:eastAsia="Arial" w:cs="Arial"/>
        </w:rPr>
        <w:t xml:space="preserve"> A interposição de recurso referente ao julgamento das propostas, à habilitação ou inabilitação de licitantes, à anulação ou revogação da licitação, observará o disposto no </w:t>
      </w:r>
      <w:hyperlink r:id="rId33" w:tooltip="http://www.planalto.gov.br/ccivil_03/_ato2019-2022/2021/lei/L14133.htm#art165" w:anchor="art165" w:history="1">
        <w:r>
          <w:rPr>
            <w:rFonts w:ascii="Arial" w:hAnsi="Arial" w:eastAsia="Arial" w:cs="Arial"/>
          </w:rPr>
          <w:t xml:space="preserve">art. 165 da Lei nº 14.133, de 2021</w:t>
        </w:r>
      </w:hyperlink>
      <w:r>
        <w:rPr>
          <w:rFonts w:ascii="Arial" w:hAnsi="Arial" w:eastAsia="Arial" w:cs="Arial"/>
        </w:rPr>
        <w:t xml:space="preserve">;</w:t>
      </w:r>
      <w:r>
        <w:rPr>
          <w:rFonts w:ascii="Arial" w:hAnsi="Arial" w:eastAsia="Arial" w:cs="Arial"/>
        </w:rPr>
      </w:r>
    </w:p>
    <w:p w14:paraId="31ACFAB0"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5419EEB4" w14:textId="77777777">
      <w:pPr>
        <w:pBdr/>
        <w:spacing/>
        <w:ind/>
        <w:jc w:val="both"/>
        <w:rPr>
          <w:rFonts w:ascii="Arial" w:hAnsi="Arial" w:eastAsia="Arial" w:cs="Arial"/>
          <w:highlight w:val="white"/>
        </w:rPr>
      </w:pPr>
      <w:r>
        <w:rPr>
          <w:rFonts w:ascii="Arial" w:hAnsi="Arial" w:eastAsia="Arial" w:cs="Arial"/>
          <w:b/>
          <w:highlight w:val="white"/>
        </w:rPr>
        <w:t xml:space="preserve">17.2.</w:t>
      </w:r>
      <w:r>
        <w:rPr>
          <w:rFonts w:ascii="Arial" w:hAnsi="Arial" w:eastAsia="Arial" w:cs="Arial"/>
          <w:highlight w:val="white"/>
        </w:rPr>
        <w:t xml:space="preserve"> A ausência de manifestação imediata e motivada do licitante nos termos do disposto no </w:t>
      </w:r>
      <w:r>
        <w:rPr>
          <w:rFonts w:ascii="Arial" w:hAnsi="Arial" w:eastAsia="Arial" w:cs="Arial"/>
          <w:b/>
          <w:highlight w:val="white"/>
        </w:rPr>
        <w:t xml:space="preserve">item 17.1</w:t>
      </w:r>
      <w:r>
        <w:rPr>
          <w:rFonts w:ascii="Arial" w:hAnsi="Arial" w:eastAsia="Arial" w:cs="Arial"/>
          <w:highlight w:val="white"/>
        </w:rPr>
        <w:t xml:space="preserve">, importará na decadência </w:t>
      </w:r>
      <w:r>
        <w:rPr>
          <w:rFonts w:ascii="Arial" w:hAnsi="Arial" w:eastAsia="Arial" w:cs="Arial"/>
        </w:rPr>
        <w:t xml:space="preserve">do direito de recurso</w:t>
      </w:r>
      <w:r>
        <w:rPr>
          <w:rFonts w:ascii="Arial" w:hAnsi="Arial" w:eastAsia="Arial" w:cs="Arial"/>
          <w:highlight w:val="white"/>
        </w:rPr>
        <w:t xml:space="preserve">, e o Pregoeiro estará autorizado a adjudicar o objeto ao licitante declarado vencedor;</w:t>
      </w:r>
      <w:r>
        <w:rPr>
          <w:rFonts w:ascii="Arial" w:hAnsi="Arial" w:eastAsia="Arial" w:cs="Arial"/>
          <w:highlight w:val="white"/>
        </w:rPr>
      </w:r>
    </w:p>
    <w:p w14:paraId="01E75526" w14:textId="77777777">
      <w:pPr>
        <w:pBdr/>
        <w:spacing/>
        <w:ind/>
        <w:jc w:val="both"/>
        <w:rPr>
          <w:rFonts w:ascii="Arial" w:hAnsi="Arial" w:eastAsia="Arial" w:cs="Arial"/>
          <w:highlight w:val="white"/>
        </w:rPr>
      </w:pPr>
      <w:r>
        <w:rPr>
          <w:rFonts w:ascii="Arial" w:hAnsi="Arial" w:eastAsia="Arial" w:cs="Arial"/>
          <w:highlight w:val="white"/>
        </w:rPr>
      </w:r>
      <w:r>
        <w:rPr>
          <w:rFonts w:ascii="Arial" w:hAnsi="Arial" w:eastAsia="Arial" w:cs="Arial"/>
          <w:highlight w:val="white"/>
        </w:rPr>
      </w:r>
    </w:p>
    <w:p w14:paraId="22BA398B" w14:textId="77777777">
      <w:pPr>
        <w:pBdr/>
        <w:spacing/>
        <w:ind/>
        <w:jc w:val="both"/>
        <w:rPr>
          <w:rFonts w:ascii="Arial" w:hAnsi="Arial" w:eastAsia="Arial" w:cs="Arial"/>
        </w:rPr>
      </w:pPr>
      <w:r>
        <w:rPr>
          <w:rFonts w:ascii="Arial" w:hAnsi="Arial" w:eastAsia="Arial" w:cs="Arial"/>
          <w:b/>
        </w:rPr>
        <w:t xml:space="preserve">17.3.</w:t>
      </w:r>
      <w:r>
        <w:rPr>
          <w:rFonts w:ascii="Arial" w:hAnsi="Arial" w:eastAsia="Arial" w:cs="Arial"/>
        </w:rPr>
        <w:t xml:space="preserve"> Só será acatado o recurso em memorial descritivo, a mensagem postada no site só servirá para efeito de manifestação de intenção de recorrer.</w:t>
      </w:r>
      <w:r>
        <w:rPr>
          <w:rFonts w:ascii="Arial" w:hAnsi="Arial" w:eastAsia="Arial" w:cs="Arial"/>
        </w:rPr>
      </w:r>
    </w:p>
    <w:p w14:paraId="5D3E5FD0"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3CEEA8FF" w14:textId="77777777">
      <w:pPr>
        <w:pBdr/>
        <w:spacing/>
        <w:ind/>
        <w:jc w:val="both"/>
        <w:rPr>
          <w:rFonts w:ascii="Arial" w:hAnsi="Arial" w:eastAsia="Arial" w:cs="Arial"/>
        </w:rPr>
      </w:pPr>
      <w:r>
        <w:rPr>
          <w:rFonts w:ascii="Arial" w:hAnsi="Arial" w:eastAsia="Arial" w:cs="Arial"/>
          <w:b/>
        </w:rPr>
        <w:t xml:space="preserve">17.4.</w:t>
      </w:r>
      <w:r>
        <w:rPr>
          <w:rFonts w:ascii="Arial" w:hAnsi="Arial" w:eastAsia="Arial" w:cs="Arial"/>
        </w:rPr>
        <w:t xml:space="preserve"> A alegação apresentada no memorial do recurso deverá relacionar-se com as razões indicadas pela licitante no momento da sessão pública, sob pena de não ser conhecido o recurso. </w:t>
      </w:r>
      <w:r>
        <w:rPr>
          <w:rFonts w:ascii="Arial" w:hAnsi="Arial" w:eastAsia="Arial" w:cs="Arial"/>
        </w:rPr>
      </w:r>
    </w:p>
    <w:p w14:paraId="2AD610D6"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71509F2E" w14:textId="77777777">
      <w:pPr>
        <w:pBdr/>
        <w:spacing/>
        <w:ind/>
        <w:jc w:val="both"/>
        <w:rPr>
          <w:rFonts w:ascii="Arial" w:hAnsi="Arial" w:eastAsia="Arial" w:cs="Arial"/>
        </w:rPr>
      </w:pPr>
      <w:r>
        <w:rPr>
          <w:rFonts w:ascii="Arial" w:hAnsi="Arial" w:eastAsia="Arial" w:cs="Arial"/>
          <w:b/>
        </w:rPr>
        <w:t xml:space="preserve">17.5.</w:t>
      </w:r>
      <w:r>
        <w:rPr>
          <w:rFonts w:ascii="Arial" w:hAnsi="Arial" w:eastAsia="Arial" w:cs="Arial"/>
        </w:rPr>
        <w:t xml:space="preserve"> O prazo para apresentação das razões recursais será de 3 (três) dias úteis, contados da data de lavratura da ata de habilitação ou inabilitação ou da intimação conforme o caso;</w:t>
      </w:r>
      <w:r>
        <w:rPr>
          <w:rFonts w:ascii="Arial" w:hAnsi="Arial" w:eastAsia="Arial" w:cs="Arial"/>
        </w:rPr>
      </w:r>
    </w:p>
    <w:p w14:paraId="3CF7A5D1"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03A11161" w14:textId="77777777">
      <w:pPr>
        <w:pBdr/>
        <w:spacing/>
        <w:ind/>
        <w:jc w:val="both"/>
        <w:rPr>
          <w:rFonts w:ascii="Arial" w:hAnsi="Arial" w:eastAsia="Arial" w:cs="Arial"/>
        </w:rPr>
      </w:pPr>
      <w:r>
        <w:rPr>
          <w:rFonts w:ascii="Arial" w:hAnsi="Arial" w:eastAsia="Arial" w:cs="Arial"/>
          <w:b/>
        </w:rPr>
        <w:t xml:space="preserve">17.6. </w:t>
      </w:r>
      <w:r>
        <w:rPr>
          <w:rFonts w:ascii="Arial" w:hAnsi="Arial" w:eastAsia="Arial" w:cs="Arial"/>
        </w:rPr>
        <w:t xml:space="preserve">O prazo para aprese</w:t>
      </w:r>
      <w:r>
        <w:rPr>
          <w:rFonts w:ascii="Arial" w:hAnsi="Arial" w:eastAsia="Arial" w:cs="Arial"/>
        </w:rPr>
        <w:t xml:space="preserve">ntação de contrarrazões ao recurso pelos demais licitantes será de 3 (três) dias úteis, contados da data da intimação pessoal ou da divulgação da interposição do recurso, assegurada a vista imediata dos elementos indispensáveis à defesa de seus interesses.</w:t>
      </w:r>
      <w:r>
        <w:rPr>
          <w:rFonts w:ascii="Arial" w:hAnsi="Arial" w:eastAsia="Arial" w:cs="Arial"/>
        </w:rPr>
      </w:r>
    </w:p>
    <w:p w14:paraId="55247088"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71FDF762" w14:textId="77777777">
      <w:pPr>
        <w:pBdr/>
        <w:spacing/>
        <w:ind/>
        <w:jc w:val="both"/>
        <w:rPr>
          <w:rFonts w:ascii="Arial" w:hAnsi="Arial" w:eastAsia="Arial" w:cs="Arial"/>
        </w:rPr>
      </w:pPr>
      <w:r>
        <w:rPr>
          <w:rFonts w:ascii="Arial" w:hAnsi="Arial" w:eastAsia="Arial" w:cs="Arial"/>
          <w:b/>
        </w:rPr>
        <w:t xml:space="preserve">17.7. </w:t>
      </w:r>
      <w:r>
        <w:rPr>
          <w:rFonts w:ascii="Arial" w:hAnsi="Arial" w:eastAsia="Arial" w:cs="Arial"/>
        </w:rPr>
        <w:t xml:space="preserve">Os recursos e contrarrazões ao recurso deverão ser encaminhados exclusivamente em campo próprio no sítio eletrônico</w:t>
      </w:r>
      <w:r>
        <w:t xml:space="preserve"> </w:t>
      </w:r>
      <w:r>
        <w:rPr>
          <w:rFonts w:ascii="Arial" w:hAnsi="Arial" w:eastAsia="Arial" w:cs="Arial"/>
        </w:rPr>
        <w:t xml:space="preserve">bllcompras.com;</w:t>
      </w:r>
      <w:r>
        <w:rPr>
          <w:rFonts w:ascii="Arial" w:hAnsi="Arial" w:eastAsia="Arial" w:cs="Arial"/>
        </w:rPr>
      </w:r>
    </w:p>
    <w:p w14:paraId="37084C9C" w14:textId="77777777">
      <w:pPr>
        <w:pBdr/>
        <w:spacing/>
        <w:ind/>
        <w:jc w:val="both"/>
        <w:rPr>
          <w:rFonts w:ascii="Arial" w:hAnsi="Arial" w:eastAsia="Arial" w:cs="Arial"/>
        </w:rPr>
      </w:pPr>
      <w:r>
        <w:rPr>
          <w:rFonts w:ascii="Arial" w:hAnsi="Arial" w:eastAsia="Arial" w:cs="Arial"/>
          <w:b/>
        </w:rPr>
        <w:t xml:space="preserve">17.8. </w:t>
      </w:r>
      <w:r>
        <w:rPr>
          <w:rFonts w:ascii="Arial" w:hAnsi="Arial" w:eastAsia="Arial" w:cs="Arial"/>
        </w:rPr>
        <w:t xml:space="preserve">Os recursos interpostos fora do prazo não serão conhecidos;</w:t>
      </w:r>
      <w:r>
        <w:rPr>
          <w:rFonts w:ascii="Arial" w:hAnsi="Arial" w:eastAsia="Arial" w:cs="Arial"/>
        </w:rPr>
      </w:r>
    </w:p>
    <w:p w14:paraId="546FC6A0"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5F23CCAD" w14:textId="77777777">
      <w:pPr>
        <w:pBdr/>
        <w:spacing/>
        <w:ind/>
        <w:jc w:val="both"/>
        <w:rPr>
          <w:rFonts w:ascii="Arial" w:hAnsi="Arial" w:eastAsia="Arial" w:cs="Arial"/>
          <w:b/>
        </w:rPr>
      </w:pPr>
      <w:r>
        <w:rPr>
          <w:rFonts w:ascii="Arial" w:hAnsi="Arial" w:eastAsia="Arial" w:cs="Arial"/>
          <w:b/>
        </w:rPr>
        <w:t xml:space="preserve">17.9. </w:t>
      </w:r>
      <w:r>
        <w:rPr>
          <w:rFonts w:ascii="Arial" w:hAnsi="Arial" w:eastAsia="Arial" w:cs="Arial"/>
        </w:rPr>
        <w:t xml:space="preserve">Os autos do processo permanecerão com vista franqueada aos interessados no sítio eletrônico</w:t>
      </w:r>
      <w:r>
        <w:t xml:space="preserve"> </w:t>
      </w:r>
      <w:r>
        <w:rPr>
          <w:rFonts w:ascii="Arial" w:hAnsi="Arial" w:eastAsia="Arial" w:cs="Arial"/>
        </w:rPr>
        <w:t xml:space="preserve">bllcompras.com;</w:t>
      </w:r>
      <w:r>
        <w:rPr>
          <w:rFonts w:ascii="Arial" w:hAnsi="Arial" w:eastAsia="Arial" w:cs="Arial"/>
          <w:b/>
        </w:rPr>
      </w:r>
    </w:p>
    <w:p w14:paraId="7B6FFFE8" w14:textId="77777777">
      <w:pPr>
        <w:pBdr/>
        <w:spacing/>
        <w:ind/>
        <w:jc w:val="both"/>
        <w:rPr>
          <w:rFonts w:ascii="Arial" w:hAnsi="Arial" w:eastAsia="Arial" w:cs="Arial"/>
        </w:rPr>
      </w:pPr>
      <w:r>
        <w:rPr>
          <w:rFonts w:ascii="Arial" w:hAnsi="Arial" w:eastAsia="Arial" w:cs="Arial"/>
        </w:rPr>
        <w:t xml:space="preserve"> </w:t>
      </w:r>
      <w:r>
        <w:rPr>
          <w:rFonts w:ascii="Arial" w:hAnsi="Arial" w:eastAsia="Arial" w:cs="Arial"/>
        </w:rPr>
      </w:r>
    </w:p>
    <w:p w14:paraId="12B9592D" w14:textId="77777777">
      <w:pPr>
        <w:pBdr/>
        <w:spacing/>
        <w:ind/>
        <w:jc w:val="both"/>
        <w:rPr>
          <w:rFonts w:ascii="Arial" w:hAnsi="Arial" w:eastAsia="Arial" w:cs="Arial"/>
        </w:rPr>
      </w:pPr>
      <w:r>
        <w:rPr>
          <w:rFonts w:ascii="Arial" w:hAnsi="Arial" w:eastAsia="Arial" w:cs="Arial"/>
          <w:b/>
        </w:rPr>
        <w:t xml:space="preserve">17.10. </w:t>
      </w:r>
      <w:r>
        <w:rPr>
          <w:rFonts w:ascii="Arial" w:hAnsi="Arial" w:eastAsia="Arial" w:cs="Arial"/>
        </w:rPr>
        <w:t xml:space="preserve">O recurso e o pedido de reconsideração terão efeito suspensivo do ato ou da decisão recorrida até que sobrevenha decisão final da autoridade competente; </w:t>
      </w:r>
      <w:r>
        <w:rPr>
          <w:rFonts w:ascii="Arial" w:hAnsi="Arial" w:eastAsia="Arial" w:cs="Arial"/>
        </w:rPr>
      </w:r>
    </w:p>
    <w:p w14:paraId="6B9ECA6B"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45C8581E" w14:textId="77777777">
      <w:pPr>
        <w:pBdr/>
        <w:spacing/>
        <w:ind/>
        <w:jc w:val="both"/>
        <w:rPr>
          <w:rFonts w:ascii="Arial" w:hAnsi="Arial" w:eastAsia="Arial" w:cs="Arial"/>
        </w:rPr>
      </w:pPr>
      <w:r>
        <w:rPr>
          <w:rFonts w:ascii="Arial" w:hAnsi="Arial" w:eastAsia="Arial" w:cs="Arial"/>
          <w:b/>
        </w:rPr>
        <w:t xml:space="preserve">17.11. </w:t>
      </w:r>
      <w:r>
        <w:rPr>
          <w:rFonts w:ascii="Arial" w:hAnsi="Arial" w:eastAsia="Arial" w:cs="Arial"/>
        </w:rPr>
        <w:t xml:space="preserve">O acolhimento do recurso invalida tão somente os atos insuscetíveis de aproveitamento;</w:t>
      </w:r>
      <w:r>
        <w:rPr>
          <w:rFonts w:ascii="Arial" w:hAnsi="Arial" w:eastAsia="Arial" w:cs="Arial"/>
        </w:rPr>
      </w:r>
    </w:p>
    <w:p w14:paraId="31E94A72"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5DD9BF32" w14:textId="77777777">
      <w:pPr>
        <w:pBdr/>
        <w:spacing/>
        <w:ind/>
        <w:jc w:val="both"/>
        <w:rPr>
          <w:rFonts w:ascii="Arial" w:hAnsi="Arial" w:eastAsia="Arial" w:cs="Arial"/>
        </w:rPr>
      </w:pPr>
      <w:r>
        <w:rPr>
          <w:rFonts w:ascii="Arial" w:hAnsi="Arial" w:eastAsia="Arial" w:cs="Arial"/>
          <w:b/>
        </w:rPr>
        <w:t xml:space="preserve">17.12. </w:t>
      </w:r>
      <w:r>
        <w:rPr>
          <w:rFonts w:ascii="Arial" w:hAnsi="Arial" w:eastAsia="Arial" w:cs="Arial"/>
        </w:rPr>
        <w:t xml:space="preserve">O recurso será dirigido à autoridade que tiver editado o ato ou proferido a decisã</w:t>
      </w:r>
      <w:r>
        <w:rPr>
          <w:rFonts w:ascii="Arial" w:hAnsi="Arial" w:eastAsia="Arial" w:cs="Arial"/>
        </w:rPr>
        <w:t xml:space="preserve">o recorrida, a qual poderá reconsiderar sua decisão no prazo de 3 (três) dias úteis, ou, nesse mesmo prazo, encaminhar recurso para a autoridade superior, a qual deverá proferir sua decisão no prazo de 10 (dez) dias úteis, contado do recebimento dos autos.</w:t>
      </w:r>
      <w:r>
        <w:rPr>
          <w:rFonts w:ascii="Arial" w:hAnsi="Arial" w:eastAsia="Arial" w:cs="Arial"/>
        </w:rPr>
      </w:r>
    </w:p>
    <w:p w14:paraId="0588BB75" w14:textId="77777777">
      <w:pPr>
        <w:pBdr/>
        <w:spacing/>
        <w:ind/>
        <w:jc w:val="both"/>
        <w:rPr>
          <w:rFonts w:ascii="Arial" w:hAnsi="Arial" w:eastAsia="Arial" w:cs="Arial"/>
          <w:b/>
          <w:color w:val="ff0000"/>
        </w:rPr>
      </w:pPr>
      <w:r>
        <w:rPr>
          <w:rFonts w:ascii="Arial" w:hAnsi="Arial" w:eastAsia="Arial" w:cs="Arial"/>
          <w:b/>
          <w:color w:val="ff0000"/>
        </w:rPr>
      </w:r>
      <w:r>
        <w:rPr>
          <w:rFonts w:ascii="Arial" w:hAnsi="Arial" w:eastAsia="Arial" w:cs="Arial"/>
          <w:b/>
          <w:color w:val="ff0000"/>
        </w:rPr>
      </w:r>
    </w:p>
    <w:p w14:paraId="698C2642" w14:textId="77777777">
      <w:pPr>
        <w:pStyle w:val="882"/>
        <w:pBdr/>
        <w:spacing w:after="0" w:before="0"/>
        <w:ind/>
        <w:rPr>
          <w:sz w:val="20"/>
          <w:szCs w:val="20"/>
          <w:lang w:val="pt-BR"/>
        </w:rPr>
      </w:pPr>
      <w:r/>
      <w:bookmarkStart w:id="29" w:name="_heading=h.562fpej4l0dn"/>
      <w:r/>
      <w:bookmarkEnd w:id="29"/>
      <w:r>
        <w:rPr>
          <w:rFonts w:eastAsia="SimSun"/>
          <w:sz w:val="20"/>
          <w:szCs w:val="20"/>
          <w:lang w:val="pt-BR"/>
        </w:rPr>
        <w:t xml:space="preserve">18. DA FORMA PARA ENTREGA DOS PRODUTOS E DAS REGRAS PARA RECEBIMENTOS PROVISÓRIO E DEFINITIVO, QUANDO FOR O CASO: </w:t>
      </w:r>
      <w:r>
        <w:rPr>
          <w:sz w:val="20"/>
          <w:szCs w:val="20"/>
          <w:lang w:val="pt-BR"/>
        </w:rPr>
      </w:r>
    </w:p>
    <w:p w14:paraId="40A49901" w14:textId="77777777">
      <w:pPr>
        <w:pBdr/>
        <w:spacing/>
        <w:ind/>
        <w:jc w:val="both"/>
        <w:rPr>
          <w:rFonts w:ascii="Arial" w:hAnsi="Arial" w:eastAsia="SimSun" w:cs="Arial"/>
        </w:rPr>
      </w:pPr>
      <w:r>
        <w:rPr>
          <w:rFonts w:ascii="Arial" w:hAnsi="Arial" w:eastAsia="SimSun" w:cs="Arial"/>
        </w:rPr>
      </w:r>
      <w:r>
        <w:rPr>
          <w:rFonts w:ascii="Arial" w:hAnsi="Arial" w:eastAsia="SimSun" w:cs="Arial"/>
        </w:rPr>
      </w:r>
    </w:p>
    <w:p w14:paraId="058E8BD7" w14:textId="77777777">
      <w:pPr>
        <w:pBdr/>
        <w:spacing/>
        <w:ind/>
        <w:jc w:val="both"/>
        <w:rPr>
          <w:rStyle w:val="960"/>
          <w:rFonts w:ascii="Arial" w:hAnsi="Arial" w:cs="Arial"/>
          <w:bCs/>
        </w:rPr>
      </w:pPr>
      <w:r>
        <w:rPr>
          <w:rStyle w:val="960"/>
          <w:rFonts w:ascii="Arial" w:hAnsi="Arial" w:cs="Arial"/>
          <w:b/>
        </w:rPr>
        <w:t xml:space="preserve">18.1.</w:t>
      </w:r>
      <w:r>
        <w:rPr>
          <w:rStyle w:val="960"/>
          <w:rFonts w:ascii="Arial" w:hAnsi="Arial" w:cs="Arial"/>
          <w:bCs/>
        </w:rPr>
        <w:t xml:space="preserve"> A execução dos serviços funerários de translado terrestre e tanatopraxia será realizada de forma futura, eventual e sob demanda, mediante emissão de Ordem de Serviço pela Secretaria Municipal de Promoção e Assistência Social – SEMPRAS.</w:t>
      </w:r>
      <w:r>
        <w:rPr>
          <w:rStyle w:val="960"/>
          <w:rFonts w:ascii="Arial" w:hAnsi="Arial" w:cs="Arial"/>
          <w:bCs/>
        </w:rPr>
      </w:r>
    </w:p>
    <w:p w14:paraId="48976DBA" w14:textId="77777777">
      <w:pPr>
        <w:pBdr/>
        <w:spacing/>
        <w:ind/>
        <w:jc w:val="both"/>
        <w:rPr>
          <w:rStyle w:val="960"/>
          <w:rFonts w:ascii="Arial" w:hAnsi="Arial" w:cs="Arial"/>
          <w:bCs/>
        </w:rPr>
      </w:pPr>
      <w:r>
        <w:rPr>
          <w:rFonts w:ascii="Arial" w:hAnsi="Arial" w:cs="Arial"/>
          <w:bCs/>
        </w:rPr>
      </w:r>
      <w:r>
        <w:rPr>
          <w:rStyle w:val="960"/>
          <w:rFonts w:ascii="Arial" w:hAnsi="Arial" w:cs="Arial"/>
          <w:bCs/>
        </w:rPr>
      </w:r>
    </w:p>
    <w:p w14:paraId="7459625E" w14:textId="77777777">
      <w:pPr>
        <w:pBdr/>
        <w:spacing/>
        <w:ind/>
        <w:jc w:val="both"/>
        <w:rPr>
          <w:rStyle w:val="960"/>
          <w:rFonts w:ascii="Arial" w:hAnsi="Arial" w:cs="Arial"/>
          <w:bCs/>
        </w:rPr>
      </w:pPr>
      <w:r>
        <w:rPr>
          <w:rStyle w:val="960"/>
          <w:rFonts w:ascii="Arial" w:hAnsi="Arial" w:cs="Arial"/>
          <w:b/>
        </w:rPr>
        <w:t xml:space="preserve">18.1.1.</w:t>
      </w:r>
      <w:r>
        <w:rPr>
          <w:rStyle w:val="960"/>
          <w:rFonts w:ascii="Arial" w:hAnsi="Arial" w:cs="Arial"/>
          <w:bCs/>
        </w:rPr>
        <w:t xml:space="preserve"> O início do translado funerário deverá ocorrer no prazo máximo de até 4 (quatro) horas, contadas do recebimento da Ordem de Serviço pela CONTRATADA, considerando a natureza emergencial da demanda.</w:t>
      </w:r>
      <w:r>
        <w:rPr>
          <w:rStyle w:val="960"/>
          <w:rFonts w:ascii="Arial" w:hAnsi="Arial" w:cs="Arial"/>
          <w:bCs/>
        </w:rPr>
      </w:r>
    </w:p>
    <w:p w14:paraId="241F9C46" w14:textId="77777777">
      <w:pPr>
        <w:pBdr/>
        <w:spacing/>
        <w:ind/>
        <w:jc w:val="both"/>
        <w:rPr>
          <w:rStyle w:val="960"/>
          <w:rFonts w:ascii="Arial" w:hAnsi="Arial" w:cs="Arial"/>
          <w:bCs/>
        </w:rPr>
      </w:pPr>
      <w:r>
        <w:rPr>
          <w:rFonts w:ascii="Arial" w:hAnsi="Arial" w:cs="Arial"/>
          <w:bCs/>
        </w:rPr>
      </w:r>
      <w:r>
        <w:rPr>
          <w:rStyle w:val="960"/>
          <w:rFonts w:ascii="Arial" w:hAnsi="Arial" w:cs="Arial"/>
          <w:bCs/>
        </w:rPr>
      </w:r>
    </w:p>
    <w:p w14:paraId="6BBAE119" w14:textId="77777777">
      <w:pPr>
        <w:pBdr/>
        <w:spacing/>
        <w:ind/>
        <w:jc w:val="both"/>
        <w:rPr>
          <w:rStyle w:val="960"/>
          <w:rFonts w:ascii="Arial" w:hAnsi="Arial" w:cs="Arial"/>
          <w:bCs/>
        </w:rPr>
      </w:pPr>
      <w:r>
        <w:rPr>
          <w:rStyle w:val="960"/>
          <w:rFonts w:ascii="Arial" w:hAnsi="Arial" w:cs="Arial"/>
          <w:b/>
        </w:rPr>
        <w:t xml:space="preserve">18.1.2.</w:t>
      </w:r>
      <w:r>
        <w:rPr>
          <w:rStyle w:val="960"/>
          <w:rFonts w:ascii="Arial" w:hAnsi="Arial" w:cs="Arial"/>
          <w:bCs/>
        </w:rPr>
        <w:t xml:space="preserve"> O procedimento de tanatopraxia deverá ser concluído no prazo máximo de até 48 (quarenta e oito) horas após o recebimento da Ordem de Serviço, observadas as normas sanitárias e técnicas aplicáveis.</w:t>
      </w:r>
      <w:r>
        <w:rPr>
          <w:rStyle w:val="960"/>
          <w:rFonts w:ascii="Arial" w:hAnsi="Arial" w:cs="Arial"/>
          <w:bCs/>
        </w:rPr>
      </w:r>
    </w:p>
    <w:p w14:paraId="7B5A7AB5" w14:textId="77777777">
      <w:pPr>
        <w:pBdr/>
        <w:spacing/>
        <w:ind/>
        <w:jc w:val="both"/>
        <w:rPr>
          <w:rStyle w:val="960"/>
          <w:rFonts w:ascii="Arial" w:hAnsi="Arial" w:cs="Arial"/>
          <w:bCs/>
        </w:rPr>
      </w:pPr>
      <w:r>
        <w:rPr>
          <w:rFonts w:ascii="Arial" w:hAnsi="Arial" w:cs="Arial"/>
          <w:bCs/>
        </w:rPr>
      </w:r>
      <w:r>
        <w:rPr>
          <w:rStyle w:val="960"/>
          <w:rFonts w:ascii="Arial" w:hAnsi="Arial" w:cs="Arial"/>
          <w:bCs/>
        </w:rPr>
      </w:r>
    </w:p>
    <w:p w14:paraId="5922710E" w14:textId="77777777">
      <w:pPr>
        <w:pBdr/>
        <w:spacing/>
        <w:ind/>
        <w:jc w:val="both"/>
        <w:rPr>
          <w:rStyle w:val="960"/>
          <w:rFonts w:ascii="Arial" w:hAnsi="Arial" w:cs="Arial"/>
          <w:bCs/>
        </w:rPr>
      </w:pPr>
      <w:r>
        <w:rPr>
          <w:rStyle w:val="960"/>
          <w:rFonts w:ascii="Arial" w:hAnsi="Arial" w:cs="Arial"/>
          <w:b/>
        </w:rPr>
        <w:t xml:space="preserve">18.1.3.</w:t>
      </w:r>
      <w:r>
        <w:rPr>
          <w:rStyle w:val="960"/>
          <w:rFonts w:ascii="Arial" w:hAnsi="Arial" w:cs="Arial"/>
          <w:bCs/>
        </w:rPr>
        <w:t xml:space="preserve"> Os serviços serão prestados exclusivamente em situações de óbito, podendo abranger atendimento em:</w:t>
      </w:r>
      <w:r>
        <w:rPr>
          <w:rStyle w:val="960"/>
          <w:rFonts w:ascii="Arial" w:hAnsi="Arial" w:cs="Arial"/>
          <w:bCs/>
        </w:rPr>
      </w:r>
    </w:p>
    <w:p w14:paraId="1958174E" w14:textId="77777777">
      <w:pPr>
        <w:pBdr/>
        <w:spacing/>
        <w:ind/>
        <w:jc w:val="both"/>
        <w:rPr>
          <w:rStyle w:val="960"/>
          <w:rFonts w:ascii="Arial" w:hAnsi="Arial" w:cs="Arial"/>
          <w:bCs/>
        </w:rPr>
      </w:pPr>
      <w:r>
        <w:rPr>
          <w:rStyle w:val="960"/>
          <w:rFonts w:ascii="Arial" w:hAnsi="Arial" w:cs="Arial"/>
          <w:bCs/>
        </w:rPr>
        <w:t xml:space="preserve">I – unidades hospitalares;</w:t>
      </w:r>
      <w:r>
        <w:rPr>
          <w:rStyle w:val="960"/>
          <w:rFonts w:ascii="Arial" w:hAnsi="Arial" w:cs="Arial"/>
          <w:bCs/>
        </w:rPr>
      </w:r>
    </w:p>
    <w:p w14:paraId="6382D06B" w14:textId="77777777">
      <w:pPr>
        <w:pBdr/>
        <w:spacing/>
        <w:ind/>
        <w:jc w:val="both"/>
        <w:rPr>
          <w:rStyle w:val="960"/>
          <w:rFonts w:ascii="Arial" w:hAnsi="Arial" w:cs="Arial"/>
          <w:bCs/>
        </w:rPr>
      </w:pPr>
      <w:r>
        <w:rPr>
          <w:rStyle w:val="960"/>
          <w:rFonts w:ascii="Arial" w:hAnsi="Arial" w:cs="Arial"/>
          <w:bCs/>
        </w:rPr>
        <w:t xml:space="preserve">II – residências;</w:t>
      </w:r>
      <w:r>
        <w:rPr>
          <w:rStyle w:val="960"/>
          <w:rFonts w:ascii="Arial" w:hAnsi="Arial" w:cs="Arial"/>
          <w:bCs/>
        </w:rPr>
      </w:r>
    </w:p>
    <w:p w14:paraId="2C8284D8" w14:textId="77777777">
      <w:pPr>
        <w:pBdr/>
        <w:spacing/>
        <w:ind/>
        <w:jc w:val="both"/>
        <w:rPr>
          <w:rStyle w:val="960"/>
          <w:rFonts w:ascii="Arial" w:hAnsi="Arial" w:cs="Arial"/>
          <w:bCs/>
        </w:rPr>
      </w:pPr>
      <w:r>
        <w:rPr>
          <w:rStyle w:val="960"/>
          <w:rFonts w:ascii="Arial" w:hAnsi="Arial" w:cs="Arial"/>
          <w:bCs/>
        </w:rPr>
        <w:t xml:space="preserve">III – Instituições de Longa Permanência;</w:t>
      </w:r>
      <w:r>
        <w:rPr>
          <w:rStyle w:val="960"/>
          <w:rFonts w:ascii="Arial" w:hAnsi="Arial" w:cs="Arial"/>
          <w:bCs/>
        </w:rPr>
      </w:r>
    </w:p>
    <w:p w14:paraId="262F227E" w14:textId="77777777">
      <w:pPr>
        <w:pBdr/>
        <w:spacing/>
        <w:ind/>
        <w:jc w:val="both"/>
        <w:rPr>
          <w:rStyle w:val="960"/>
          <w:rFonts w:ascii="Arial" w:hAnsi="Arial" w:cs="Arial"/>
          <w:bCs/>
        </w:rPr>
      </w:pPr>
      <w:r>
        <w:rPr>
          <w:rStyle w:val="960"/>
          <w:rFonts w:ascii="Arial" w:hAnsi="Arial" w:cs="Arial"/>
          <w:bCs/>
        </w:rPr>
        <w:t xml:space="preserve">IV – locais públicos;</w:t>
      </w:r>
      <w:r>
        <w:rPr>
          <w:rStyle w:val="960"/>
          <w:rFonts w:ascii="Arial" w:hAnsi="Arial" w:cs="Arial"/>
          <w:bCs/>
        </w:rPr>
      </w:r>
    </w:p>
    <w:p w14:paraId="794B154F" w14:textId="77777777">
      <w:pPr>
        <w:pBdr/>
        <w:spacing/>
        <w:ind/>
        <w:jc w:val="both"/>
        <w:rPr>
          <w:rStyle w:val="960"/>
          <w:rFonts w:ascii="Arial" w:hAnsi="Arial" w:cs="Arial"/>
          <w:bCs/>
        </w:rPr>
      </w:pPr>
      <w:r>
        <w:rPr>
          <w:rStyle w:val="960"/>
          <w:rFonts w:ascii="Arial" w:hAnsi="Arial" w:cs="Arial"/>
          <w:bCs/>
        </w:rPr>
        <w:t xml:space="preserve">V – demais locais indicados formalmente pela SEMPRAS.</w:t>
      </w:r>
      <w:r>
        <w:rPr>
          <w:rStyle w:val="960"/>
          <w:rFonts w:ascii="Arial" w:hAnsi="Arial" w:cs="Arial"/>
          <w:bCs/>
        </w:rPr>
      </w:r>
    </w:p>
    <w:p w14:paraId="507D7A39" w14:textId="77777777">
      <w:pPr>
        <w:pBdr/>
        <w:spacing/>
        <w:ind/>
        <w:jc w:val="both"/>
        <w:rPr>
          <w:rStyle w:val="960"/>
          <w:rFonts w:ascii="Arial" w:hAnsi="Arial" w:cs="Arial"/>
          <w:bCs/>
        </w:rPr>
      </w:pPr>
      <w:r>
        <w:rPr>
          <w:rFonts w:ascii="Arial" w:hAnsi="Arial" w:cs="Arial"/>
          <w:bCs/>
        </w:rPr>
      </w:r>
      <w:r>
        <w:rPr>
          <w:rStyle w:val="960"/>
          <w:rFonts w:ascii="Arial" w:hAnsi="Arial" w:cs="Arial"/>
          <w:bCs/>
        </w:rPr>
      </w:r>
    </w:p>
    <w:p w14:paraId="78C6C6BA" w14:textId="77777777">
      <w:pPr>
        <w:pBdr/>
        <w:spacing/>
        <w:ind/>
        <w:jc w:val="both"/>
        <w:rPr>
          <w:rStyle w:val="960"/>
          <w:rFonts w:ascii="Arial" w:hAnsi="Arial" w:cs="Arial"/>
          <w:bCs/>
        </w:rPr>
      </w:pPr>
      <w:r>
        <w:rPr>
          <w:rStyle w:val="960"/>
          <w:rFonts w:ascii="Arial" w:hAnsi="Arial" w:cs="Arial"/>
          <w:b/>
        </w:rPr>
        <w:t xml:space="preserve">18.2.</w:t>
      </w:r>
      <w:r>
        <w:rPr>
          <w:rStyle w:val="960"/>
          <w:rFonts w:ascii="Arial" w:hAnsi="Arial" w:cs="Arial"/>
          <w:bCs/>
        </w:rPr>
        <w:t xml:space="preserve"> A Ordem de Serviço será emitida pelo Fiscal do Contrato designado por Portaria publicada no Diário Oficial do Município.</w:t>
      </w:r>
      <w:r>
        <w:rPr>
          <w:rStyle w:val="960"/>
          <w:rFonts w:ascii="Arial" w:hAnsi="Arial" w:cs="Arial"/>
          <w:bCs/>
        </w:rPr>
      </w:r>
    </w:p>
    <w:p w14:paraId="7CC2CE98" w14:textId="77777777">
      <w:pPr>
        <w:pBdr/>
        <w:spacing/>
        <w:ind/>
        <w:jc w:val="both"/>
        <w:rPr>
          <w:rStyle w:val="960"/>
          <w:rFonts w:ascii="Arial" w:hAnsi="Arial" w:cs="Arial"/>
          <w:bCs/>
        </w:rPr>
      </w:pPr>
      <w:r>
        <w:rPr>
          <w:rFonts w:ascii="Arial" w:hAnsi="Arial" w:cs="Arial"/>
          <w:bCs/>
        </w:rPr>
      </w:r>
      <w:r>
        <w:rPr>
          <w:rStyle w:val="960"/>
          <w:rFonts w:ascii="Arial" w:hAnsi="Arial" w:cs="Arial"/>
          <w:bCs/>
        </w:rPr>
      </w:r>
    </w:p>
    <w:p w14:paraId="587C9554" w14:textId="77777777">
      <w:pPr>
        <w:pBdr/>
        <w:spacing/>
        <w:ind/>
        <w:jc w:val="both"/>
        <w:rPr>
          <w:rStyle w:val="960"/>
          <w:rFonts w:ascii="Arial" w:hAnsi="Arial" w:cs="Arial"/>
          <w:bCs/>
        </w:rPr>
      </w:pPr>
      <w:r>
        <w:rPr>
          <w:rStyle w:val="960"/>
          <w:rFonts w:ascii="Arial" w:hAnsi="Arial" w:cs="Arial"/>
          <w:b/>
        </w:rPr>
        <w:t xml:space="preserve">18.2.1.</w:t>
      </w:r>
      <w:r>
        <w:rPr>
          <w:rStyle w:val="960"/>
          <w:rFonts w:ascii="Arial" w:hAnsi="Arial" w:cs="Arial"/>
          <w:bCs/>
        </w:rPr>
        <w:t xml:space="preserve"> Havendo causa impeditiva ao cumprimento dos prazos estabelecidos, a CONTRATADA deverá comunicar formalmente à Administração, apresentando justificativa técnica fundamentada, sujeita à análise e aceitação da fiscalização.</w:t>
      </w:r>
      <w:r>
        <w:rPr>
          <w:rStyle w:val="960"/>
          <w:rFonts w:ascii="Arial" w:hAnsi="Arial" w:cs="Arial"/>
          <w:bCs/>
        </w:rPr>
      </w:r>
    </w:p>
    <w:p w14:paraId="3E7997F3" w14:textId="77777777">
      <w:pPr>
        <w:pBdr/>
        <w:spacing/>
        <w:ind/>
        <w:jc w:val="both"/>
        <w:rPr>
          <w:rStyle w:val="960"/>
          <w:rFonts w:ascii="Arial" w:hAnsi="Arial" w:cs="Arial"/>
          <w:bCs/>
        </w:rPr>
      </w:pPr>
      <w:r>
        <w:rPr>
          <w:rFonts w:ascii="Arial" w:hAnsi="Arial" w:cs="Arial"/>
          <w:bCs/>
        </w:rPr>
      </w:r>
      <w:r>
        <w:rPr>
          <w:rStyle w:val="960"/>
          <w:rFonts w:ascii="Arial" w:hAnsi="Arial" w:cs="Arial"/>
          <w:bCs/>
        </w:rPr>
      </w:r>
    </w:p>
    <w:p w14:paraId="59C71659" w14:textId="77777777">
      <w:pPr>
        <w:pBdr/>
        <w:spacing/>
        <w:ind/>
        <w:jc w:val="both"/>
        <w:rPr>
          <w:rStyle w:val="960"/>
          <w:rFonts w:ascii="Arial" w:hAnsi="Arial" w:cs="Arial"/>
          <w:bCs/>
        </w:rPr>
      </w:pPr>
      <w:r>
        <w:rPr>
          <w:rFonts w:ascii="Arial" w:hAnsi="Arial" w:cs="Arial"/>
          <w:bCs/>
        </w:rPr>
      </w:r>
      <w:r>
        <w:rPr>
          <w:rStyle w:val="960"/>
          <w:rFonts w:ascii="Arial" w:hAnsi="Arial" w:cs="Arial"/>
          <w:bCs/>
        </w:rPr>
      </w:r>
    </w:p>
    <w:p w14:paraId="45B142B4" w14:textId="77777777">
      <w:pPr>
        <w:pBdr/>
        <w:spacing/>
        <w:ind/>
        <w:jc w:val="both"/>
        <w:rPr>
          <w:rFonts w:ascii="Arial" w:hAnsi="Arial" w:cs="Arial"/>
          <w:bCs/>
        </w:rPr>
      </w:pPr>
      <w:r>
        <w:rPr>
          <w:rFonts w:ascii="Arial" w:hAnsi="Arial" w:cs="Arial"/>
          <w:b/>
        </w:rPr>
        <w:t xml:space="preserve">18.3.</w:t>
      </w:r>
      <w:r>
        <w:rPr>
          <w:rFonts w:ascii="Arial" w:hAnsi="Arial" w:cs="Arial"/>
          <w:bCs/>
        </w:rPr>
        <w:t xml:space="preserve"> Os serviços executados serão recebidos provisoriamente pelo Fiscal do Contrato, mediante verificação preliminar da conformidade com as especificações do Termo de Referência, no prazo imediato após a conclusão do atendimento.</w:t>
      </w:r>
      <w:r>
        <w:rPr>
          <w:rFonts w:ascii="Arial" w:hAnsi="Arial" w:cs="Arial"/>
          <w:bCs/>
        </w:rPr>
      </w:r>
    </w:p>
    <w:p w14:paraId="3C58BC39" w14:textId="77777777">
      <w:pPr>
        <w:pBdr/>
        <w:spacing/>
        <w:ind/>
        <w:jc w:val="both"/>
        <w:rPr>
          <w:rFonts w:ascii="Arial" w:hAnsi="Arial" w:cs="Arial"/>
          <w:bCs/>
        </w:rPr>
      </w:pPr>
      <w:r>
        <w:rPr>
          <w:rFonts w:ascii="Arial" w:hAnsi="Arial" w:cs="Arial"/>
          <w:bCs/>
        </w:rPr>
      </w:r>
      <w:r>
        <w:rPr>
          <w:rFonts w:ascii="Arial" w:hAnsi="Arial" w:cs="Arial"/>
          <w:bCs/>
        </w:rPr>
      </w:r>
    </w:p>
    <w:p w14:paraId="33399F77" w14:textId="77777777">
      <w:pPr>
        <w:pBdr/>
        <w:spacing/>
        <w:ind/>
        <w:jc w:val="both"/>
        <w:rPr>
          <w:rFonts w:ascii="Arial" w:hAnsi="Arial" w:cs="Arial"/>
          <w:bCs/>
        </w:rPr>
      </w:pPr>
      <w:r>
        <w:rPr>
          <w:rFonts w:ascii="Arial" w:hAnsi="Arial" w:cs="Arial"/>
          <w:b/>
        </w:rPr>
        <w:t xml:space="preserve">18.3.1.</w:t>
      </w:r>
      <w:r>
        <w:rPr>
          <w:rFonts w:ascii="Arial" w:hAnsi="Arial" w:cs="Arial"/>
          <w:bCs/>
        </w:rPr>
        <w:t xml:space="preserve"> Constatada irregularidade, desconformidade técnica, descumprimento de prazo ou falha na execução, a CONTRATADA será notificada para correção imediata, às suas expensas, sem prejuízo da aplicação das penalidades cabíveis.</w:t>
      </w:r>
      <w:r>
        <w:rPr>
          <w:rFonts w:ascii="Arial" w:hAnsi="Arial" w:cs="Arial"/>
          <w:bCs/>
        </w:rPr>
      </w:r>
    </w:p>
    <w:p w14:paraId="44A75A04" w14:textId="77777777">
      <w:pPr>
        <w:pBdr/>
        <w:spacing/>
        <w:ind/>
        <w:jc w:val="both"/>
        <w:rPr>
          <w:rFonts w:ascii="Arial" w:hAnsi="Arial" w:cs="Arial"/>
          <w:bCs/>
        </w:rPr>
      </w:pPr>
      <w:r>
        <w:rPr>
          <w:rFonts w:ascii="Arial" w:hAnsi="Arial" w:cs="Arial"/>
          <w:bCs/>
        </w:rPr>
      </w:r>
      <w:r>
        <w:rPr>
          <w:rFonts w:ascii="Arial" w:hAnsi="Arial" w:cs="Arial"/>
          <w:bCs/>
        </w:rPr>
      </w:r>
    </w:p>
    <w:p w14:paraId="633537B9" w14:textId="77777777">
      <w:pPr>
        <w:pBdr/>
        <w:spacing/>
        <w:ind/>
        <w:jc w:val="both"/>
        <w:rPr>
          <w:rFonts w:ascii="Arial" w:hAnsi="Arial" w:cs="Arial"/>
          <w:bCs/>
        </w:rPr>
      </w:pPr>
      <w:r>
        <w:rPr>
          <w:rFonts w:ascii="Arial" w:hAnsi="Arial" w:cs="Arial"/>
          <w:bCs/>
        </w:rPr>
      </w:r>
      <w:r>
        <w:rPr>
          <w:rFonts w:ascii="Arial" w:hAnsi="Arial" w:cs="Arial"/>
          <w:bCs/>
        </w:rPr>
      </w:r>
    </w:p>
    <w:p w14:paraId="0BA7A01B" w14:textId="77777777">
      <w:pPr>
        <w:pBdr/>
        <w:spacing/>
        <w:ind/>
        <w:jc w:val="both"/>
        <w:rPr>
          <w:rFonts w:ascii="Arial" w:hAnsi="Arial" w:cs="Arial"/>
          <w:bCs/>
        </w:rPr>
      </w:pPr>
      <w:r>
        <w:rPr>
          <w:rFonts w:ascii="Arial" w:hAnsi="Arial" w:cs="Arial"/>
          <w:b/>
        </w:rPr>
        <w:t xml:space="preserve">18.4.</w:t>
      </w:r>
      <w:r>
        <w:rPr>
          <w:rFonts w:ascii="Arial" w:hAnsi="Arial" w:cs="Arial"/>
          <w:bCs/>
        </w:rPr>
        <w:t xml:space="preserve"> </w:t>
      </w:r>
      <w:r>
        <w:rPr>
          <w:rFonts w:ascii="Arial" w:hAnsi="Arial" w:cs="Arial"/>
          <w:bCs/>
        </w:rPr>
        <w:t xml:space="preserve">O recebimento definitivo ocorrerá no prazo de até 5 (cinco) dias úteis após o recebimento provisório, mediante atesto formal do Fiscal do Contrato, após verificação da regular execução do serviço, observados os critérios técnicos, sanitários e contratuais.</w:t>
      </w:r>
      <w:r>
        <w:rPr>
          <w:rFonts w:ascii="Arial" w:hAnsi="Arial" w:cs="Arial"/>
          <w:bCs/>
        </w:rPr>
      </w:r>
    </w:p>
    <w:p w14:paraId="38B5F4DD" w14:textId="77777777">
      <w:pPr>
        <w:pBdr/>
        <w:spacing/>
        <w:ind/>
        <w:jc w:val="both"/>
        <w:rPr>
          <w:rFonts w:ascii="Arial" w:hAnsi="Arial" w:cs="Arial"/>
          <w:bCs/>
        </w:rPr>
      </w:pPr>
      <w:r>
        <w:rPr>
          <w:rFonts w:ascii="Arial" w:hAnsi="Arial" w:cs="Arial"/>
          <w:bCs/>
        </w:rPr>
      </w:r>
      <w:r>
        <w:rPr>
          <w:rFonts w:ascii="Arial" w:hAnsi="Arial" w:cs="Arial"/>
          <w:bCs/>
        </w:rPr>
      </w:r>
    </w:p>
    <w:p w14:paraId="377F9FF2" w14:textId="77777777">
      <w:pPr>
        <w:pBdr/>
        <w:spacing/>
        <w:ind/>
        <w:jc w:val="both"/>
        <w:rPr>
          <w:rFonts w:ascii="Arial" w:hAnsi="Arial" w:cs="Arial"/>
          <w:bCs/>
        </w:rPr>
      </w:pPr>
      <w:r>
        <w:rPr>
          <w:rFonts w:ascii="Arial" w:hAnsi="Arial" w:cs="Arial"/>
          <w:b/>
        </w:rPr>
        <w:t xml:space="preserve">18.4.1.</w:t>
      </w:r>
      <w:r>
        <w:rPr>
          <w:rFonts w:ascii="Arial" w:hAnsi="Arial" w:cs="Arial"/>
          <w:bCs/>
        </w:rPr>
        <w:t xml:space="preserve"> O recebimento provisório ou definitivo não exclui a responsabilidade da CONTRATADA por falhas técnicas, vícios, descumprimento contratual ou danos decorrentes da execução inadequada dos serviços.</w:t>
      </w:r>
      <w:r>
        <w:rPr>
          <w:rFonts w:ascii="Arial" w:hAnsi="Arial" w:cs="Arial"/>
          <w:bCs/>
        </w:rPr>
      </w:r>
    </w:p>
    <w:p w14:paraId="3627E2B4" w14:textId="77777777">
      <w:pPr>
        <w:pBdr/>
        <w:spacing/>
        <w:ind/>
        <w:jc w:val="both"/>
        <w:rPr>
          <w:rFonts w:ascii="Arial" w:hAnsi="Arial" w:cs="Arial"/>
          <w:bCs/>
        </w:rPr>
      </w:pPr>
      <w:r>
        <w:rPr>
          <w:rFonts w:ascii="Arial" w:hAnsi="Arial" w:cs="Arial"/>
          <w:bCs/>
        </w:rPr>
      </w:r>
      <w:r>
        <w:rPr>
          <w:rFonts w:ascii="Arial" w:hAnsi="Arial" w:cs="Arial"/>
          <w:bCs/>
        </w:rPr>
      </w:r>
    </w:p>
    <w:p w14:paraId="3330DA6C" w14:textId="77777777">
      <w:pPr>
        <w:pBdr/>
        <w:spacing/>
        <w:ind/>
        <w:jc w:val="both"/>
        <w:rPr>
          <w:rFonts w:ascii="Arial" w:hAnsi="Arial" w:cs="Arial"/>
          <w:bCs/>
        </w:rPr>
      </w:pPr>
      <w:r>
        <w:rPr>
          <w:rFonts w:ascii="Arial" w:hAnsi="Arial" w:cs="Arial"/>
          <w:b/>
        </w:rPr>
        <w:t xml:space="preserve">18.5.</w:t>
      </w:r>
      <w:r>
        <w:rPr>
          <w:rFonts w:ascii="Arial" w:hAnsi="Arial" w:cs="Arial"/>
          <w:bCs/>
        </w:rPr>
        <w:t xml:space="preserve"> A quilometragem do translado será contabilizada a partir da saída do veículo da funerária sediada no Município de Rondonópolis/MT até o destino final indicado na Ordem de Serviço.</w:t>
      </w:r>
      <w:r>
        <w:rPr>
          <w:rFonts w:ascii="Arial" w:hAnsi="Arial" w:cs="Arial"/>
          <w:bCs/>
        </w:rPr>
      </w:r>
    </w:p>
    <w:p w14:paraId="74384290" w14:textId="77777777">
      <w:pPr>
        <w:pBdr/>
        <w:spacing/>
        <w:ind/>
        <w:jc w:val="both"/>
        <w:rPr>
          <w:rFonts w:ascii="Arial" w:hAnsi="Arial" w:cs="Arial"/>
          <w:bCs/>
        </w:rPr>
      </w:pPr>
      <w:r>
        <w:rPr>
          <w:rFonts w:ascii="Arial" w:hAnsi="Arial" w:cs="Arial"/>
          <w:bCs/>
        </w:rPr>
      </w:r>
      <w:r>
        <w:rPr>
          <w:rFonts w:ascii="Arial" w:hAnsi="Arial" w:cs="Arial"/>
          <w:bCs/>
        </w:rPr>
      </w:r>
    </w:p>
    <w:p w14:paraId="2D5E8CA5" w14:textId="77777777">
      <w:pPr>
        <w:pBdr/>
        <w:spacing/>
        <w:ind/>
        <w:jc w:val="both"/>
        <w:rPr>
          <w:rFonts w:ascii="Arial" w:hAnsi="Arial" w:cs="Arial"/>
          <w:bCs/>
        </w:rPr>
      </w:pPr>
      <w:r>
        <w:rPr>
          <w:rFonts w:ascii="Arial" w:hAnsi="Arial" w:cs="Arial"/>
          <w:b/>
        </w:rPr>
        <w:t xml:space="preserve">18.5.1.</w:t>
      </w:r>
      <w:r>
        <w:rPr>
          <w:rFonts w:ascii="Arial" w:hAnsi="Arial" w:cs="Arial"/>
          <w:bCs/>
        </w:rPr>
        <w:t xml:space="preserve"> A Nota Fiscal somente será encaminhada para pagamento após o recebimento definitivo dos serviços.</w:t>
      </w:r>
      <w:r>
        <w:rPr>
          <w:rFonts w:ascii="Arial" w:hAnsi="Arial" w:cs="Arial"/>
          <w:bCs/>
        </w:rPr>
      </w:r>
    </w:p>
    <w:p w14:paraId="1F465303" w14:textId="77777777">
      <w:pPr>
        <w:pBdr/>
        <w:spacing/>
        <w:ind/>
        <w:jc w:val="both"/>
        <w:rPr>
          <w:rFonts w:ascii="Arial" w:hAnsi="Arial" w:cs="Arial"/>
          <w:bCs/>
        </w:rPr>
      </w:pPr>
      <w:r>
        <w:rPr>
          <w:rFonts w:ascii="Arial" w:hAnsi="Arial" w:cs="Arial"/>
          <w:bCs/>
        </w:rPr>
      </w:r>
      <w:r>
        <w:rPr>
          <w:rFonts w:ascii="Arial" w:hAnsi="Arial" w:cs="Arial"/>
          <w:bCs/>
        </w:rPr>
      </w:r>
    </w:p>
    <w:p w14:paraId="67EB4EFD" w14:textId="77777777">
      <w:pPr>
        <w:pBdr/>
        <w:spacing/>
        <w:ind/>
        <w:jc w:val="both"/>
        <w:rPr>
          <w:rFonts w:ascii="Arial" w:hAnsi="Arial" w:cs="Arial"/>
          <w:bCs/>
        </w:rPr>
      </w:pPr>
      <w:r>
        <w:rPr>
          <w:rFonts w:ascii="Arial" w:hAnsi="Arial" w:cs="Arial"/>
          <w:b/>
        </w:rPr>
        <w:t xml:space="preserve">18.5.2.</w:t>
      </w:r>
      <w:r>
        <w:rPr>
          <w:rFonts w:ascii="Arial" w:hAnsi="Arial" w:cs="Arial"/>
          <w:bCs/>
        </w:rPr>
        <w:t xml:space="preserve"> A Nota Fiscal deverá corresponder exclusivamente aos serviços efetivamente executados e atestados pela fiscalização.</w:t>
      </w:r>
      <w:r>
        <w:rPr>
          <w:rFonts w:ascii="Arial" w:hAnsi="Arial" w:cs="Arial"/>
          <w:bCs/>
        </w:rPr>
      </w:r>
    </w:p>
    <w:p w14:paraId="494222E4" w14:textId="77777777">
      <w:pPr>
        <w:pBdr/>
        <w:spacing/>
        <w:ind/>
        <w:jc w:val="both"/>
        <w:rPr>
          <w:rFonts w:ascii="Arial" w:hAnsi="Arial" w:cs="Arial"/>
          <w:bCs/>
        </w:rPr>
      </w:pPr>
      <w:r>
        <w:rPr>
          <w:rFonts w:ascii="Arial" w:hAnsi="Arial" w:cs="Arial"/>
          <w:bCs/>
        </w:rPr>
      </w:r>
      <w:r>
        <w:rPr>
          <w:rFonts w:ascii="Arial" w:hAnsi="Arial" w:cs="Arial"/>
          <w:bCs/>
        </w:rPr>
      </w:r>
    </w:p>
    <w:p w14:paraId="09415CA6" w14:textId="77777777">
      <w:pPr>
        <w:pBdr/>
        <w:spacing/>
        <w:ind/>
        <w:jc w:val="both"/>
        <w:rPr>
          <w:rFonts w:ascii="Arial" w:hAnsi="Arial" w:cs="Arial"/>
          <w:bCs/>
        </w:rPr>
      </w:pPr>
      <w:r>
        <w:rPr>
          <w:rFonts w:ascii="Arial" w:hAnsi="Arial" w:cs="Arial"/>
          <w:b/>
        </w:rPr>
        <w:t xml:space="preserve">18.6.</w:t>
      </w:r>
      <w:r>
        <w:rPr>
          <w:rFonts w:ascii="Arial" w:hAnsi="Arial" w:cs="Arial"/>
          <w:bCs/>
        </w:rPr>
        <w:t xml:space="preserve"> A CONTRATADA será integralmente responsável pelo transporte, conservação, manuseio, preparação e segurança sanitária durante toda a execução dos serviços.</w:t>
      </w:r>
      <w:r>
        <w:rPr>
          <w:rFonts w:ascii="Arial" w:hAnsi="Arial" w:cs="Arial"/>
          <w:bCs/>
        </w:rPr>
      </w:r>
    </w:p>
    <w:p w14:paraId="2B8BFB49" w14:textId="77777777">
      <w:pPr>
        <w:pBdr/>
        <w:spacing/>
        <w:ind/>
        <w:jc w:val="both"/>
        <w:rPr>
          <w:rFonts w:ascii="Arial" w:hAnsi="Arial" w:cs="Arial"/>
          <w:bCs/>
        </w:rPr>
      </w:pPr>
      <w:r>
        <w:rPr>
          <w:rFonts w:ascii="Arial" w:hAnsi="Arial" w:cs="Arial"/>
          <w:bCs/>
        </w:rPr>
      </w:r>
      <w:r>
        <w:rPr>
          <w:rFonts w:ascii="Arial" w:hAnsi="Arial" w:cs="Arial"/>
          <w:bCs/>
        </w:rPr>
      </w:r>
    </w:p>
    <w:p w14:paraId="3433F517" w14:textId="77777777">
      <w:pPr>
        <w:pBdr/>
        <w:spacing/>
        <w:ind/>
        <w:jc w:val="both"/>
        <w:rPr>
          <w:rFonts w:ascii="Arial" w:hAnsi="Arial" w:cs="Arial"/>
          <w:bCs/>
        </w:rPr>
      </w:pPr>
      <w:r>
        <w:rPr>
          <w:rFonts w:ascii="Arial" w:hAnsi="Arial" w:cs="Arial"/>
          <w:b/>
        </w:rPr>
        <w:t xml:space="preserve">18.6.1.</w:t>
      </w:r>
      <w:r>
        <w:rPr>
          <w:rFonts w:ascii="Arial" w:hAnsi="Arial" w:cs="Arial"/>
          <w:bCs/>
        </w:rPr>
        <w:t xml:space="preserve"> Caso seja consta</w:t>
      </w:r>
      <w:r>
        <w:rPr>
          <w:rFonts w:ascii="Arial" w:hAnsi="Arial" w:cs="Arial"/>
          <w:bCs/>
        </w:rPr>
        <w:t xml:space="preserve">tado que os serviços foram prestados em desacordo com as especificações do Edital e do Termo de Referência, a CONTRATADA deverá sanar as irregularidades imediatamente, sem ônus para a Administração, sujeitando-se às sanções previstas na Lei nº 14.133/2021.</w:t>
      </w:r>
      <w:r>
        <w:rPr>
          <w:rFonts w:ascii="Arial" w:hAnsi="Arial" w:cs="Arial"/>
          <w:bCs/>
        </w:rPr>
      </w:r>
    </w:p>
    <w:p w14:paraId="484E3777" w14:textId="77777777">
      <w:pPr>
        <w:pBdr/>
        <w:spacing/>
        <w:ind/>
        <w:jc w:val="both"/>
        <w:rPr>
          <w:rFonts w:ascii="Arial" w:hAnsi="Arial" w:cs="Arial"/>
          <w:bCs/>
        </w:rPr>
      </w:pPr>
      <w:r>
        <w:rPr>
          <w:rFonts w:ascii="Arial" w:hAnsi="Arial" w:cs="Arial"/>
          <w:bCs/>
        </w:rPr>
      </w:r>
      <w:r>
        <w:rPr>
          <w:rFonts w:ascii="Arial" w:hAnsi="Arial" w:cs="Arial"/>
          <w:bCs/>
        </w:rPr>
      </w:r>
    </w:p>
    <w:p w14:paraId="7BB2AE56" w14:textId="77777777">
      <w:pPr>
        <w:pBdr/>
        <w:spacing/>
        <w:ind/>
        <w:jc w:val="both"/>
        <w:rPr>
          <w:rFonts w:ascii="Arial" w:hAnsi="Arial" w:cs="Arial"/>
          <w:bCs/>
        </w:rPr>
      </w:pPr>
      <w:r>
        <w:rPr>
          <w:rFonts w:ascii="Arial" w:hAnsi="Arial" w:cs="Arial"/>
          <w:b/>
        </w:rPr>
        <w:t xml:space="preserve">18.6.2.</w:t>
      </w:r>
      <w:r>
        <w:rPr>
          <w:rFonts w:ascii="Arial" w:hAnsi="Arial" w:cs="Arial"/>
          <w:bCs/>
        </w:rPr>
        <w:t xml:space="preserve"> O recebimento não exclui a responsabilidade civil, administrativa e sanitária da CONTRATADA pela perfeita execução do objeto.</w:t>
      </w:r>
      <w:r>
        <w:rPr>
          <w:rFonts w:ascii="Arial" w:hAnsi="Arial" w:cs="Arial"/>
          <w:bCs/>
        </w:rPr>
      </w:r>
    </w:p>
    <w:p w14:paraId="10D71ED8" w14:textId="77777777">
      <w:pPr>
        <w:pBdr/>
        <w:spacing/>
        <w:ind/>
        <w:jc w:val="both"/>
        <w:rPr>
          <w:rFonts w:ascii="Arial" w:hAnsi="Arial" w:cs="Arial"/>
          <w:b/>
        </w:rPr>
      </w:pPr>
      <w:r>
        <w:rPr>
          <w:rFonts w:ascii="Arial" w:hAnsi="Arial" w:cs="Arial"/>
          <w:b/>
        </w:rPr>
      </w:r>
      <w:r>
        <w:rPr>
          <w:rFonts w:ascii="Arial" w:hAnsi="Arial" w:cs="Arial"/>
          <w:b/>
        </w:rPr>
      </w:r>
    </w:p>
    <w:p w14:paraId="27C6F2DA" w14:textId="77777777">
      <w:pPr>
        <w:pStyle w:val="882"/>
        <w:pBdr/>
        <w:spacing w:after="0" w:before="0"/>
        <w:ind/>
        <w:rPr>
          <w:sz w:val="20"/>
          <w:szCs w:val="20"/>
          <w:lang w:val="pt-BR"/>
        </w:rPr>
      </w:pPr>
      <w:r/>
      <w:bookmarkStart w:id="30" w:name="_heading=h.43ip783k3h6k"/>
      <w:r/>
      <w:bookmarkEnd w:id="30"/>
      <w:r>
        <w:rPr>
          <w:sz w:val="20"/>
          <w:szCs w:val="20"/>
          <w:lang w:val="pt-BR"/>
        </w:rPr>
        <w:t xml:space="preserve">19. DA DOTAÇÃO ORÇAMENTÁRIA: </w:t>
      </w:r>
      <w:r>
        <w:rPr>
          <w:sz w:val="20"/>
          <w:szCs w:val="20"/>
          <w:lang w:val="pt-BR"/>
        </w:rPr>
      </w:r>
    </w:p>
    <w:p w14:paraId="165F5962"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62F4C351" w14:textId="77777777">
      <w:pPr>
        <w:pBdr/>
        <w:spacing/>
        <w:ind/>
        <w:jc w:val="both"/>
        <w:rPr>
          <w:color w:val="000000"/>
        </w:rPr>
      </w:pPr>
      <w:r>
        <w:rPr>
          <w:rFonts w:ascii="Arial" w:hAnsi="Arial" w:eastAsia="Arial" w:cs="Arial"/>
          <w:b/>
          <w:color w:val="000000"/>
        </w:rPr>
        <w:t xml:space="preserve">19.1.</w:t>
      </w:r>
      <w:r>
        <w:rPr>
          <w:rFonts w:ascii="Arial" w:hAnsi="Arial" w:eastAsia="Arial" w:cs="Arial"/>
          <w:color w:val="000000"/>
        </w:rPr>
        <w:t xml:space="preserve"> Na licitação para registro de p</w:t>
      </w:r>
      <w:r>
        <w:rPr>
          <w:rFonts w:ascii="Arial" w:hAnsi="Arial" w:eastAsia="Arial" w:cs="Arial"/>
          <w:color w:val="000000"/>
        </w:rPr>
        <w:t xml:space="preserve">reços não é necessário indicar a dotação orçamentária ou qualquer outra informação da origem dos recursos orçamentários, que somente serão exigidas para a formalização do contrato ou outro instrumento hábil. (Art. 299, §2º do Decreto Municipal 11.685/2023)</w:t>
      </w:r>
      <w:r>
        <w:rPr>
          <w:color w:val="000000"/>
        </w:rPr>
      </w:r>
    </w:p>
    <w:p w14:paraId="62F5D589"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0C0DE42E" w14:textId="77777777">
      <w:pPr>
        <w:pStyle w:val="882"/>
        <w:pBdr/>
        <w:spacing w:after="0" w:before="0"/>
        <w:ind/>
        <w:rPr>
          <w:sz w:val="20"/>
          <w:szCs w:val="20"/>
          <w:lang w:val="pt-BR"/>
        </w:rPr>
      </w:pPr>
      <w:r/>
      <w:bookmarkStart w:id="31" w:name="_heading=h.6yzs4jqeh6u"/>
      <w:r/>
      <w:bookmarkEnd w:id="31"/>
      <w:r>
        <w:rPr>
          <w:sz w:val="20"/>
          <w:szCs w:val="20"/>
          <w:lang w:val="pt-BR"/>
        </w:rPr>
        <w:t xml:space="preserve">20. DAS OBRIGAÇÕES DA CONTRATANTE: </w:t>
      </w:r>
      <w:r>
        <w:rPr>
          <w:sz w:val="20"/>
          <w:szCs w:val="20"/>
          <w:lang w:val="pt-BR"/>
        </w:rPr>
      </w:r>
    </w:p>
    <w:p w14:paraId="0BF77269"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2EECD460" w14:textId="77777777">
      <w:pPr>
        <w:pBdr/>
        <w:spacing/>
        <w:ind/>
        <w:jc w:val="both"/>
        <w:rPr>
          <w:rFonts w:ascii="Arial" w:hAnsi="Arial" w:eastAsia="Arial" w:cs="Arial"/>
        </w:rPr>
      </w:pPr>
      <w:r>
        <w:rPr>
          <w:rFonts w:ascii="Arial" w:hAnsi="Arial" w:eastAsia="Arial" w:cs="Arial"/>
          <w:b/>
        </w:rPr>
        <w:t xml:space="preserve">20.1.</w:t>
      </w:r>
      <w:r>
        <w:rPr>
          <w:rFonts w:ascii="Arial" w:hAnsi="Arial" w:eastAsia="Arial" w:cs="Arial"/>
        </w:rPr>
        <w:t xml:space="preserve"> Notificar a licitante vencedora a assinar o contrato, ou outro documento equivalente, no prazo de até 05 (cinco) dias úteis e comunicar demais informações que achar pertinentes para o bom cumprimento do objeto; </w:t>
      </w:r>
      <w:r>
        <w:rPr>
          <w:rFonts w:ascii="Arial" w:hAnsi="Arial" w:eastAsia="Arial" w:cs="Arial"/>
        </w:rPr>
      </w:r>
    </w:p>
    <w:p w14:paraId="4E9C437C"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5BD5D95E" w14:textId="77777777">
      <w:pPr>
        <w:pBdr/>
        <w:spacing/>
        <w:ind/>
        <w:jc w:val="both"/>
        <w:rPr>
          <w:rFonts w:ascii="Arial" w:hAnsi="Arial" w:eastAsia="Arial" w:cs="Arial"/>
        </w:rPr>
      </w:pPr>
      <w:r>
        <w:rPr>
          <w:rFonts w:ascii="Arial" w:hAnsi="Arial" w:eastAsia="Arial" w:cs="Arial"/>
          <w:b/>
        </w:rPr>
        <w:t xml:space="preserve">20.2.</w:t>
      </w:r>
      <w:r>
        <w:rPr>
          <w:rFonts w:ascii="Arial" w:hAnsi="Arial" w:eastAsia="Arial" w:cs="Arial"/>
        </w:rPr>
        <w:t xml:space="preserve"> Proporcionar todas as facilidades indispensáveis à boa execução das obrigações contratuais, inclusive permitindo o acesso de empregados, prepostos ou representantes da contratada em suas dependências, quando for o caso. </w:t>
      </w:r>
      <w:r>
        <w:rPr>
          <w:rFonts w:ascii="Arial" w:hAnsi="Arial" w:eastAsia="Arial" w:cs="Arial"/>
        </w:rPr>
      </w:r>
    </w:p>
    <w:p w14:paraId="3600C583"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56A60EAD" w14:textId="77777777">
      <w:pPr>
        <w:pBdr/>
        <w:spacing/>
        <w:ind/>
        <w:jc w:val="both"/>
        <w:rPr>
          <w:rFonts w:ascii="Arial" w:hAnsi="Arial" w:eastAsia="Arial" w:cs="Arial"/>
        </w:rPr>
      </w:pPr>
      <w:r>
        <w:rPr>
          <w:rFonts w:ascii="Arial" w:hAnsi="Arial" w:eastAsia="Arial" w:cs="Arial"/>
          <w:b/>
        </w:rPr>
        <w:t xml:space="preserve">20.3.</w:t>
      </w:r>
      <w:r>
        <w:rPr>
          <w:rFonts w:ascii="Arial" w:hAnsi="Arial" w:eastAsia="Arial" w:cs="Arial"/>
        </w:rPr>
        <w:t xml:space="preserve"> Rejeitar, no todo ou em parte, os itens entregues em desacordo com as obrigações assumidas pelo fornecedor. </w:t>
      </w:r>
      <w:r>
        <w:rPr>
          <w:rFonts w:ascii="Arial" w:hAnsi="Arial" w:eastAsia="Arial" w:cs="Arial"/>
        </w:rPr>
      </w:r>
    </w:p>
    <w:p w14:paraId="3B8DE5C1"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4DB3EDF6" w14:textId="77777777">
      <w:pPr>
        <w:pBdr/>
        <w:spacing/>
        <w:ind/>
        <w:jc w:val="both"/>
        <w:rPr>
          <w:rFonts w:ascii="Arial" w:hAnsi="Arial" w:eastAsia="Arial" w:cs="Arial"/>
        </w:rPr>
      </w:pPr>
      <w:r>
        <w:rPr>
          <w:rFonts w:ascii="Arial" w:hAnsi="Arial" w:eastAsia="Arial" w:cs="Arial"/>
          <w:b/>
        </w:rPr>
        <w:t xml:space="preserve">20.4.</w:t>
      </w:r>
      <w:r>
        <w:rPr>
          <w:rFonts w:ascii="Arial" w:hAnsi="Arial" w:eastAsia="Arial" w:cs="Arial"/>
        </w:rPr>
        <w:t xml:space="preserve"> Notificar a CONTRATADA de qualquer irregularidade encontrada nos serviços prestados. </w:t>
      </w:r>
      <w:r>
        <w:rPr>
          <w:rFonts w:ascii="Arial" w:hAnsi="Arial" w:eastAsia="Arial" w:cs="Arial"/>
        </w:rPr>
      </w:r>
    </w:p>
    <w:p w14:paraId="0ABCCFD6"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087DF393" w14:textId="77777777">
      <w:pPr>
        <w:pBdr/>
        <w:spacing/>
        <w:ind/>
        <w:jc w:val="both"/>
        <w:rPr>
          <w:rFonts w:ascii="Arial" w:hAnsi="Arial" w:eastAsia="Arial" w:cs="Arial"/>
        </w:rPr>
      </w:pPr>
      <w:r>
        <w:rPr>
          <w:rFonts w:ascii="Arial" w:hAnsi="Arial" w:eastAsia="Arial" w:cs="Arial"/>
          <w:b/>
        </w:rPr>
        <w:t xml:space="preserve">20.5.</w:t>
      </w:r>
      <w:r>
        <w:rPr>
          <w:rFonts w:ascii="Arial" w:hAnsi="Arial" w:eastAsia="Arial" w:cs="Arial"/>
        </w:rPr>
        <w:t xml:space="preserve"> Efetuar o pagamento á CONTRATADA, nas condições estabelecidas no edital. </w:t>
      </w:r>
      <w:r>
        <w:rPr>
          <w:rFonts w:ascii="Arial" w:hAnsi="Arial" w:eastAsia="Arial" w:cs="Arial"/>
        </w:rPr>
      </w:r>
    </w:p>
    <w:p w14:paraId="62F61608"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15B823A0" w14:textId="77777777">
      <w:pPr>
        <w:pBdr/>
        <w:spacing/>
        <w:ind/>
        <w:jc w:val="both"/>
        <w:rPr>
          <w:rFonts w:ascii="Arial" w:hAnsi="Arial" w:eastAsia="Arial" w:cs="Arial"/>
        </w:rPr>
      </w:pPr>
      <w:r>
        <w:rPr>
          <w:rFonts w:ascii="Arial" w:hAnsi="Arial" w:eastAsia="Arial" w:cs="Arial"/>
          <w:b/>
        </w:rPr>
        <w:t xml:space="preserve">20.6.</w:t>
      </w:r>
      <w:r>
        <w:rPr>
          <w:rFonts w:ascii="Arial" w:hAnsi="Arial" w:eastAsia="Arial" w:cs="Arial"/>
        </w:rPr>
        <w:t xml:space="preserve"> Nenhum pagamento será efetuado à empresa adjudicatária, enquanto pendente de liquidação qualquer obrigação. Esse fato não será gerador de direito a reajustamento de preços ou a atualização monetária. </w:t>
      </w:r>
      <w:r>
        <w:rPr>
          <w:rFonts w:ascii="Arial" w:hAnsi="Arial" w:eastAsia="Arial" w:cs="Arial"/>
        </w:rPr>
      </w:r>
    </w:p>
    <w:p w14:paraId="543B681F"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0616538B" w14:textId="77777777">
      <w:pPr>
        <w:pBdr/>
        <w:spacing/>
        <w:ind/>
        <w:jc w:val="both"/>
        <w:rPr>
          <w:rFonts w:ascii="Arial" w:hAnsi="Arial" w:eastAsia="Arial" w:cs="Arial"/>
        </w:rPr>
      </w:pPr>
      <w:r>
        <w:rPr>
          <w:rFonts w:ascii="Arial" w:hAnsi="Arial" w:eastAsia="Arial" w:cs="Arial"/>
          <w:b/>
        </w:rPr>
        <w:t xml:space="preserve">20.7.</w:t>
      </w:r>
      <w:r>
        <w:rPr>
          <w:rFonts w:ascii="Arial" w:hAnsi="Arial" w:eastAsia="Arial" w:cs="Arial"/>
        </w:rPr>
        <w:t xml:space="preserve"> Não haverá, sob hipótese alguma, pagamento antecipado. </w:t>
      </w:r>
      <w:r>
        <w:rPr>
          <w:rFonts w:ascii="Arial" w:hAnsi="Arial" w:eastAsia="Arial" w:cs="Arial"/>
        </w:rPr>
      </w:r>
    </w:p>
    <w:p w14:paraId="218FACA7"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1FDF3C24" w14:textId="77777777">
      <w:pPr>
        <w:pBdr/>
        <w:spacing/>
        <w:ind/>
        <w:jc w:val="both"/>
        <w:rPr>
          <w:rFonts w:ascii="Arial" w:hAnsi="Arial" w:eastAsia="Arial" w:cs="Arial"/>
        </w:rPr>
      </w:pPr>
      <w:r>
        <w:rPr>
          <w:rFonts w:ascii="Arial" w:hAnsi="Arial" w:eastAsia="Arial" w:cs="Arial"/>
          <w:b/>
        </w:rPr>
        <w:t xml:space="preserve">20.8.</w:t>
      </w:r>
      <w:r>
        <w:rPr>
          <w:rFonts w:ascii="Arial" w:hAnsi="Arial" w:eastAsia="Arial" w:cs="Arial"/>
        </w:rPr>
        <w:t xml:space="preserve"> Coordenar e fiscalizar a entrega dos serviços pertinente à presente contratação. </w:t>
      </w:r>
      <w:r>
        <w:rPr>
          <w:rFonts w:ascii="Arial" w:hAnsi="Arial" w:eastAsia="Arial" w:cs="Arial"/>
        </w:rPr>
      </w:r>
    </w:p>
    <w:p w14:paraId="5212F0C4"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3BAB782E" w14:textId="77777777">
      <w:pPr>
        <w:pBdr/>
        <w:spacing/>
        <w:ind/>
        <w:jc w:val="both"/>
        <w:rPr>
          <w:rFonts w:ascii="Arial" w:hAnsi="Arial" w:eastAsia="Arial" w:cs="Arial"/>
        </w:rPr>
      </w:pPr>
      <w:r>
        <w:rPr>
          <w:rFonts w:ascii="Arial" w:hAnsi="Arial" w:eastAsia="Arial" w:cs="Arial"/>
          <w:b/>
        </w:rPr>
        <w:t xml:space="preserve">20.9.</w:t>
      </w:r>
      <w:r>
        <w:rPr>
          <w:rFonts w:ascii="Arial" w:hAnsi="Arial" w:eastAsia="Arial" w:cs="Arial"/>
        </w:rPr>
        <w:t xml:space="preserve"> Prestar as informações e os esclarecimentos que fizerem necessários.</w:t>
      </w:r>
      <w:r>
        <w:rPr>
          <w:rFonts w:ascii="Arial" w:hAnsi="Arial" w:eastAsia="Arial" w:cs="Arial"/>
        </w:rPr>
      </w:r>
    </w:p>
    <w:p w14:paraId="3C2E428B"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55BBB36C" w14:textId="77777777">
      <w:pPr>
        <w:pStyle w:val="882"/>
        <w:pBdr/>
        <w:spacing w:after="0" w:before="0"/>
        <w:ind/>
        <w:rPr>
          <w:sz w:val="20"/>
          <w:szCs w:val="20"/>
          <w:lang w:val="pt-BR"/>
        </w:rPr>
      </w:pPr>
      <w:r/>
      <w:bookmarkStart w:id="32" w:name="_heading=h.y9dm7fhd8pf6"/>
      <w:r/>
      <w:bookmarkEnd w:id="32"/>
      <w:r>
        <w:rPr>
          <w:sz w:val="20"/>
          <w:szCs w:val="20"/>
          <w:lang w:val="pt-BR"/>
        </w:rPr>
        <w:t xml:space="preserve">21. DAS OBRIGAÇÕES E RESPONSABILIDADES DA CONTRATADA:</w:t>
      </w:r>
      <w:r>
        <w:rPr>
          <w:sz w:val="20"/>
          <w:szCs w:val="20"/>
          <w:lang w:val="pt-BR"/>
        </w:rPr>
      </w:r>
    </w:p>
    <w:p w14:paraId="1CDF29C7"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38526E37" w14:textId="77777777">
      <w:pPr>
        <w:pBdr/>
        <w:spacing/>
        <w:ind/>
        <w:jc w:val="both"/>
        <w:rPr>
          <w:rFonts w:ascii="Arial" w:hAnsi="Arial" w:eastAsia="Arial" w:cs="Arial"/>
        </w:rPr>
      </w:pPr>
      <w:r>
        <w:rPr>
          <w:rFonts w:ascii="Arial" w:hAnsi="Arial" w:eastAsia="Arial" w:cs="Arial"/>
          <w:b/>
        </w:rPr>
        <w:t xml:space="preserve">21.1.</w:t>
      </w:r>
      <w:r>
        <w:rPr>
          <w:rFonts w:ascii="Arial" w:hAnsi="Arial" w:eastAsia="Arial" w:cs="Arial"/>
        </w:rPr>
        <w:t xml:space="preserve"> Após a homologação da licitação, comparecer a Prefeitura Municipal para assinatura do contrato, ou outro documento equivalente, em até 05 (cinco) dias úteis, contados do recebimento da convocação formal; </w:t>
      </w:r>
      <w:r>
        <w:rPr>
          <w:rFonts w:ascii="Arial" w:hAnsi="Arial" w:eastAsia="Arial" w:cs="Arial"/>
        </w:rPr>
      </w:r>
    </w:p>
    <w:p w14:paraId="4D5B134A"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39FFD985" w14:textId="77777777">
      <w:pPr>
        <w:pBdr/>
        <w:spacing/>
        <w:ind/>
        <w:jc w:val="both"/>
        <w:rPr>
          <w:rFonts w:ascii="Arial" w:hAnsi="Arial" w:eastAsia="Arial" w:cs="Arial"/>
        </w:rPr>
      </w:pPr>
      <w:r>
        <w:rPr>
          <w:rFonts w:ascii="Arial" w:hAnsi="Arial" w:eastAsia="Arial" w:cs="Arial"/>
          <w:b/>
        </w:rPr>
        <w:t xml:space="preserve">21.2. </w:t>
      </w:r>
      <w:r>
        <w:rPr>
          <w:rFonts w:ascii="Arial" w:hAnsi="Arial" w:eastAsia="Arial" w:cs="Arial"/>
        </w:rPr>
        <w:t xml:space="preserve">A Administração, ao in</w:t>
      </w:r>
      <w:r>
        <w:rPr>
          <w:rFonts w:ascii="Arial" w:hAnsi="Arial" w:eastAsia="Arial" w:cs="Arial"/>
        </w:rPr>
        <w:t xml:space="preserve">vés de convocar o adjudicatário, poderá encaminhá-lo, o instrumento contratual, mediante correspondência postal com aviso de recebimento (AR) ou meio eletrônico, para que seja assinado no prazo de 03 (três) dias úteis, a contar da data de seu recebimento. </w:t>
      </w:r>
      <w:r>
        <w:rPr>
          <w:rFonts w:ascii="Arial" w:hAnsi="Arial" w:eastAsia="Arial" w:cs="Arial"/>
        </w:rPr>
      </w:r>
    </w:p>
    <w:p w14:paraId="2748A2C7"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28996F81" w14:textId="77777777">
      <w:pPr>
        <w:pBdr/>
        <w:spacing/>
        <w:ind/>
        <w:jc w:val="both"/>
        <w:rPr>
          <w:rFonts w:ascii="Arial" w:hAnsi="Arial" w:eastAsia="Arial" w:cs="Arial"/>
        </w:rPr>
      </w:pPr>
      <w:r>
        <w:rPr>
          <w:rFonts w:ascii="Arial" w:hAnsi="Arial" w:eastAsia="Arial" w:cs="Arial"/>
          <w:b/>
        </w:rPr>
        <w:t xml:space="preserve">21.3. </w:t>
      </w:r>
      <w:r>
        <w:rPr>
          <w:rFonts w:ascii="Arial" w:hAnsi="Arial" w:eastAsia="Arial" w:cs="Arial"/>
        </w:rPr>
        <w:t xml:space="preserve">O prazo previsto no subitem anterior poderá ser prorrogado, por igual período, por solicitação justificada do adjudicatário e aceita pela Administração.</w:t>
      </w:r>
      <w:r>
        <w:rPr>
          <w:rFonts w:ascii="Arial" w:hAnsi="Arial" w:eastAsia="Arial" w:cs="Arial"/>
        </w:rPr>
      </w:r>
    </w:p>
    <w:p w14:paraId="21577F15"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34B30C97" w14:textId="77777777">
      <w:pPr>
        <w:pBdr/>
        <w:spacing/>
        <w:ind/>
        <w:jc w:val="both"/>
        <w:rPr>
          <w:rFonts w:ascii="Arial" w:hAnsi="Arial" w:eastAsia="Arial" w:cs="Arial"/>
        </w:rPr>
      </w:pPr>
      <w:r>
        <w:rPr>
          <w:rFonts w:ascii="Arial" w:hAnsi="Arial" w:eastAsia="Arial" w:cs="Arial"/>
          <w:b/>
        </w:rPr>
        <w:t xml:space="preserve">21.4.</w:t>
      </w:r>
      <w:r>
        <w:rPr>
          <w:rFonts w:ascii="Arial" w:hAnsi="Arial" w:eastAsia="Arial" w:cs="Arial"/>
        </w:rPr>
        <w:t xml:space="preserve"> Executar o fornecimento dentro dos padrões estabelecidos pela administração, de acordo com a especificação do Edital, responsabilizando-se por eventuais prejuízos decorrentes do descumprimento de condição estabelecida; </w:t>
      </w:r>
      <w:r>
        <w:rPr>
          <w:rFonts w:ascii="Arial" w:hAnsi="Arial" w:eastAsia="Arial" w:cs="Arial"/>
        </w:rPr>
      </w:r>
    </w:p>
    <w:p w14:paraId="53F6CD07"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3E246D05" w14:textId="77777777">
      <w:pPr>
        <w:pBdr/>
        <w:spacing/>
        <w:ind/>
        <w:jc w:val="both"/>
        <w:rPr>
          <w:rFonts w:ascii="Arial" w:hAnsi="Arial" w:eastAsia="Arial" w:cs="Arial"/>
        </w:rPr>
      </w:pPr>
      <w:r>
        <w:rPr>
          <w:rFonts w:ascii="Arial" w:hAnsi="Arial" w:eastAsia="Arial" w:cs="Arial"/>
          <w:b/>
        </w:rPr>
        <w:t xml:space="preserve">21.5.</w:t>
      </w:r>
      <w:r>
        <w:rPr>
          <w:rFonts w:ascii="Arial" w:hAnsi="Arial" w:eastAsia="Arial" w:cs="Arial"/>
        </w:rPr>
        <w:t xml:space="preserve"> Dispor-se a toda e qualquer fiscalização da CONTRATANTE, no tocante ao fornecimento do objeto licitado, assim como ao cumprimento das obrigações previstas no edital e seus anexos;</w:t>
      </w:r>
      <w:r>
        <w:rPr>
          <w:rFonts w:ascii="Arial" w:hAnsi="Arial" w:eastAsia="Arial" w:cs="Arial"/>
        </w:rPr>
      </w:r>
    </w:p>
    <w:p w14:paraId="16772CBD"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74FC12EB" w14:textId="77777777">
      <w:pPr>
        <w:pBdr/>
        <w:spacing/>
        <w:ind/>
        <w:jc w:val="both"/>
        <w:rPr>
          <w:rFonts w:ascii="Arial" w:hAnsi="Arial" w:eastAsia="Arial" w:cs="Arial"/>
        </w:rPr>
      </w:pPr>
      <w:r>
        <w:rPr>
          <w:rFonts w:ascii="Arial" w:hAnsi="Arial" w:eastAsia="Arial" w:cs="Arial"/>
          <w:b/>
        </w:rPr>
        <w:t xml:space="preserve">21.6.</w:t>
      </w:r>
      <w:r>
        <w:rPr>
          <w:rFonts w:ascii="Arial" w:hAnsi="Arial" w:eastAsia="Arial" w:cs="Arial"/>
        </w:rPr>
        <w:t xml:space="preserve"> Prover todos os meios necessários à garantia da plena operacionalidade do fornecimento, inclusive considerados os casos de greve ou paralisação de qualquer natureza; </w:t>
      </w:r>
      <w:r>
        <w:rPr>
          <w:rFonts w:ascii="Arial" w:hAnsi="Arial" w:eastAsia="Arial" w:cs="Arial"/>
        </w:rPr>
      </w:r>
    </w:p>
    <w:p w14:paraId="056EAD6C"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01FFB904" w14:textId="77777777">
      <w:pPr>
        <w:pBdr/>
        <w:spacing/>
        <w:ind/>
        <w:jc w:val="both"/>
        <w:rPr>
          <w:rFonts w:ascii="Arial" w:hAnsi="Arial" w:eastAsia="Arial" w:cs="Arial"/>
        </w:rPr>
      </w:pPr>
      <w:r>
        <w:rPr>
          <w:rFonts w:ascii="Arial" w:hAnsi="Arial" w:eastAsia="Arial" w:cs="Arial"/>
          <w:b/>
        </w:rPr>
        <w:t xml:space="preserve">21.7.</w:t>
      </w:r>
      <w:r>
        <w:rPr>
          <w:rFonts w:ascii="Arial" w:hAnsi="Arial" w:eastAsia="Arial" w:cs="Arial"/>
        </w:rPr>
        <w:t xml:space="preserve"> O atraso na entrega do objeto licitado no</w:t>
      </w:r>
      <w:r>
        <w:rPr>
          <w:rFonts w:ascii="Arial" w:hAnsi="Arial" w:eastAsia="Arial" w:cs="Arial"/>
        </w:rPr>
        <w:t xml:space="preserve"> prazo estabelecido em edital, não poderá ser alegado como motivo de força maior, má execução ou inexecução da entrega, objeto do contrato e não a eximirá das penalidades a que está sujeita pelo não cumprimento dos prazos e demais condições estabelecidas; </w:t>
      </w:r>
      <w:r>
        <w:rPr>
          <w:rFonts w:ascii="Arial" w:hAnsi="Arial" w:eastAsia="Arial" w:cs="Arial"/>
        </w:rPr>
      </w:r>
    </w:p>
    <w:p w14:paraId="4A698B72"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4E1768B6" w14:textId="77777777">
      <w:pPr>
        <w:pBdr/>
        <w:spacing/>
        <w:ind/>
        <w:jc w:val="both"/>
        <w:rPr>
          <w:rFonts w:ascii="Arial" w:hAnsi="Arial" w:eastAsia="Arial" w:cs="Arial"/>
        </w:rPr>
      </w:pPr>
      <w:r>
        <w:rPr>
          <w:rFonts w:ascii="Arial" w:hAnsi="Arial" w:eastAsia="Arial" w:cs="Arial"/>
          <w:b/>
        </w:rPr>
        <w:t xml:space="preserve">21.8.</w:t>
      </w:r>
      <w:r>
        <w:rPr>
          <w:rFonts w:ascii="Arial" w:hAnsi="Arial" w:eastAsia="Arial" w:cs="Arial"/>
        </w:rPr>
        <w:t xml:space="preserve"> Comunicar imediatamente à CONTRATANTE qualquer alteração ocorrida no endereço, conta bancária e outros dados julgáveis necessários para recebimento de correspondência; </w:t>
      </w:r>
      <w:r>
        <w:rPr>
          <w:rFonts w:ascii="Arial" w:hAnsi="Arial" w:eastAsia="Arial" w:cs="Arial"/>
        </w:rPr>
      </w:r>
    </w:p>
    <w:p w14:paraId="7318E5DB"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1D36F74D" w14:textId="77777777">
      <w:pPr>
        <w:pBdr/>
        <w:spacing/>
        <w:ind/>
        <w:jc w:val="both"/>
        <w:rPr>
          <w:rFonts w:ascii="Arial" w:hAnsi="Arial" w:eastAsia="Arial" w:cs="Arial"/>
        </w:rPr>
      </w:pPr>
      <w:r>
        <w:rPr>
          <w:rFonts w:ascii="Arial" w:hAnsi="Arial" w:eastAsia="Arial" w:cs="Arial"/>
          <w:b/>
        </w:rPr>
        <w:t xml:space="preserve">21.9.</w:t>
      </w:r>
      <w:r>
        <w:rPr>
          <w:rFonts w:ascii="Arial" w:hAnsi="Arial" w:eastAsia="Arial" w:cs="Arial"/>
        </w:rPr>
        <w:t xml:space="preserve"> Fiscalizar o perfeito cumprimento do fornecimento a que se obrigou, cabendo-lhe, integralmente, os ônus decorrentes. Tal fiscalização dar-se-á independentemente da que será exercida pela CONTRATANTE; </w:t>
      </w:r>
      <w:r>
        <w:rPr>
          <w:rFonts w:ascii="Arial" w:hAnsi="Arial" w:eastAsia="Arial" w:cs="Arial"/>
        </w:rPr>
      </w:r>
    </w:p>
    <w:p w14:paraId="60B9F872"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597D2573" w14:textId="77777777">
      <w:pPr>
        <w:pBdr/>
        <w:spacing/>
        <w:ind/>
        <w:jc w:val="both"/>
        <w:rPr>
          <w:rFonts w:ascii="Arial" w:hAnsi="Arial" w:eastAsia="Arial" w:cs="Arial"/>
        </w:rPr>
      </w:pPr>
      <w:r>
        <w:rPr>
          <w:rFonts w:ascii="Arial" w:hAnsi="Arial" w:eastAsia="Arial" w:cs="Arial"/>
          <w:b/>
        </w:rPr>
        <w:t xml:space="preserve">21.10.</w:t>
      </w:r>
      <w:r>
        <w:rPr>
          <w:rFonts w:ascii="Arial" w:hAnsi="Arial" w:eastAsia="Arial" w:cs="Arial"/>
        </w:rPr>
        <w:t xml:space="preserve"> Indenizar terceiros e/ou ao Órgão/Entidade, mesmo em c</w:t>
      </w:r>
      <w:r>
        <w:rPr>
          <w:rFonts w:ascii="Arial" w:hAnsi="Arial" w:eastAsia="Arial" w:cs="Arial"/>
        </w:rPr>
        <w:t xml:space="preserve">aso de ausência ou omissão de fiscalização de sua parte, pelos danos causados por sua culpa ou dolo, devendo a contratada adotar todas as medidas preventivas, com fiel observância às exigências das autoridades competentes e às disposições legais vigentes; </w:t>
      </w:r>
      <w:r>
        <w:rPr>
          <w:rFonts w:ascii="Arial" w:hAnsi="Arial" w:eastAsia="Arial" w:cs="Arial"/>
        </w:rPr>
      </w:r>
    </w:p>
    <w:p w14:paraId="3112862B"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2EB1EDD9" w14:textId="77777777">
      <w:pPr>
        <w:pBdr/>
        <w:spacing/>
        <w:ind/>
        <w:jc w:val="both"/>
        <w:rPr>
          <w:rFonts w:ascii="Arial" w:hAnsi="Arial" w:eastAsia="Arial" w:cs="Arial"/>
        </w:rPr>
      </w:pPr>
      <w:r>
        <w:rPr>
          <w:rFonts w:ascii="Arial" w:hAnsi="Arial" w:eastAsia="Arial" w:cs="Arial"/>
          <w:b/>
        </w:rPr>
        <w:t xml:space="preserve">21.11.</w:t>
      </w:r>
      <w:r>
        <w:rPr>
          <w:rFonts w:ascii="Arial" w:hAnsi="Arial" w:eastAsia="Arial" w:cs="Arial"/>
        </w:rPr>
        <w:t xml:space="preserve"> A contratada ficará </w:t>
      </w:r>
      <w:r>
        <w:rPr>
          <w:rFonts w:ascii="Arial" w:hAnsi="Arial" w:eastAsia="Arial" w:cs="Arial"/>
        </w:rPr>
        <w:t xml:space="preserve">obrigada a aceitar nas mesmas condições deste edital, os acréscimos ou supressões que se fizerem necessários, até 25% (vinte e cinco por cento) do valor do objeto adjudicado, devendo supressões acima desse limite ser resultantes de acordo entre as partes; </w:t>
      </w:r>
      <w:r>
        <w:rPr>
          <w:rFonts w:ascii="Arial" w:hAnsi="Arial" w:eastAsia="Arial" w:cs="Arial"/>
        </w:rPr>
      </w:r>
    </w:p>
    <w:p w14:paraId="7AFE6995"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0D256B79" w14:textId="77777777">
      <w:pPr>
        <w:pBdr/>
        <w:spacing/>
        <w:ind/>
        <w:jc w:val="both"/>
        <w:rPr>
          <w:rFonts w:ascii="Arial" w:hAnsi="Arial" w:eastAsia="Arial" w:cs="Arial"/>
        </w:rPr>
      </w:pPr>
      <w:r>
        <w:rPr>
          <w:rFonts w:ascii="Arial" w:hAnsi="Arial" w:eastAsia="Arial" w:cs="Arial"/>
          <w:b/>
        </w:rPr>
        <w:t xml:space="preserve">21.12.</w:t>
      </w:r>
      <w:r>
        <w:rPr>
          <w:rFonts w:ascii="Arial" w:hAnsi="Arial" w:eastAsia="Arial" w:cs="Arial"/>
        </w:rPr>
        <w:t xml:space="preserve"> Arcar</w:t>
      </w:r>
      <w:r>
        <w:rPr>
          <w:rFonts w:ascii="Arial" w:hAnsi="Arial" w:eastAsia="Arial" w:cs="Arial"/>
        </w:rPr>
        <w:t xml:space="preserve"> com todo e qualquer tipo de autuação ou ação que venha a sofrer em decorrência do fornecimento em questão, bem como pelos mesmos nos casos que envolvam eventuais decisões judiciais, eximindo o Órgão/Entidade de qualquer solidariedade ou responsabilidade. </w:t>
      </w:r>
      <w:r>
        <w:rPr>
          <w:rFonts w:ascii="Arial" w:hAnsi="Arial" w:eastAsia="Arial" w:cs="Arial"/>
        </w:rPr>
      </w:r>
    </w:p>
    <w:p w14:paraId="6F98BBA0"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5162CB94" w14:textId="77777777">
      <w:pPr>
        <w:pBdr/>
        <w:spacing/>
        <w:ind/>
        <w:jc w:val="both"/>
        <w:rPr>
          <w:rFonts w:ascii="Arial" w:hAnsi="Arial" w:eastAsia="Arial" w:cs="Arial"/>
        </w:rPr>
      </w:pPr>
      <w:r>
        <w:rPr>
          <w:rFonts w:ascii="Arial" w:hAnsi="Arial" w:eastAsia="Arial" w:cs="Arial"/>
          <w:b/>
        </w:rPr>
        <w:t xml:space="preserve">21.13.</w:t>
      </w:r>
      <w:r>
        <w:rPr>
          <w:rFonts w:ascii="Arial" w:hAnsi="Arial" w:eastAsia="Arial" w:cs="Arial"/>
        </w:rPr>
        <w:t xml:space="preserve"> Todos os impostos e taxas que forem devidos em decorrência das contratações do objeto do Edital correrão por conta exclusiva da contratada. </w:t>
      </w:r>
      <w:r>
        <w:rPr>
          <w:rFonts w:ascii="Arial" w:hAnsi="Arial" w:eastAsia="Arial" w:cs="Arial"/>
        </w:rPr>
      </w:r>
    </w:p>
    <w:p w14:paraId="5628E0AE"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79404CF9" w14:textId="77777777">
      <w:pPr>
        <w:pBdr/>
        <w:spacing/>
        <w:ind/>
        <w:jc w:val="both"/>
        <w:rPr>
          <w:rFonts w:ascii="Arial" w:hAnsi="Arial" w:eastAsia="Arial" w:cs="Arial"/>
        </w:rPr>
      </w:pPr>
      <w:r>
        <w:rPr>
          <w:rFonts w:ascii="Arial" w:hAnsi="Arial" w:eastAsia="Arial" w:cs="Arial"/>
          <w:b/>
        </w:rPr>
        <w:t xml:space="preserve">21.14.</w:t>
      </w:r>
      <w:r>
        <w:rPr>
          <w:rFonts w:ascii="Arial" w:hAnsi="Arial" w:eastAsia="Arial" w:cs="Arial"/>
        </w:rPr>
        <w:t xml:space="preserve"> Como condição para pagamento, a licitante vencedora deverá obrigatoriamente apresentar novamente a documentação que comprova sua regularidade fiscal e trabalhista, conforme apresentado na fase de habilitação. </w:t>
      </w:r>
      <w:r>
        <w:rPr>
          <w:rFonts w:ascii="Arial" w:hAnsi="Arial" w:eastAsia="Arial" w:cs="Arial"/>
        </w:rPr>
      </w:r>
    </w:p>
    <w:p w14:paraId="32D5DD86"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51A03B44" w14:textId="77777777">
      <w:pPr>
        <w:pBdr/>
        <w:spacing/>
        <w:ind/>
        <w:jc w:val="both"/>
        <w:rPr>
          <w:rFonts w:ascii="Arial" w:hAnsi="Arial" w:eastAsia="Arial" w:cs="Arial"/>
        </w:rPr>
      </w:pPr>
      <w:r>
        <w:rPr>
          <w:rFonts w:ascii="Arial" w:hAnsi="Arial" w:eastAsia="Arial" w:cs="Arial"/>
          <w:b/>
        </w:rPr>
        <w:t xml:space="preserve">21.15.</w:t>
      </w:r>
      <w:r>
        <w:rPr>
          <w:rFonts w:ascii="Arial" w:hAnsi="Arial" w:eastAsia="Arial" w:cs="Arial"/>
        </w:rPr>
        <w:t xml:space="preserve"> A CONTRA</w:t>
      </w:r>
      <w:r>
        <w:rPr>
          <w:rFonts w:ascii="Arial" w:hAnsi="Arial" w:eastAsia="Arial" w:cs="Arial"/>
        </w:rPr>
        <w:t xml:space="preserve">TADA deverá fornecer Termo de Garantia de Fornecedor, com especificações e quantidades idênticas ao descrito neste edital e na Nota de Empenho, incluindo informações de contato do fabricante para eventual assistência técnica durante o período de garantia. </w:t>
      </w:r>
      <w:r>
        <w:rPr>
          <w:rFonts w:ascii="Arial" w:hAnsi="Arial" w:eastAsia="Arial" w:cs="Arial"/>
        </w:rPr>
      </w:r>
    </w:p>
    <w:p w14:paraId="0B0E7487"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449903D5" w14:textId="77777777">
      <w:pPr>
        <w:pBdr/>
        <w:spacing/>
        <w:ind/>
        <w:jc w:val="both"/>
        <w:rPr>
          <w:rFonts w:ascii="Arial" w:hAnsi="Arial" w:eastAsia="Arial" w:cs="Arial"/>
        </w:rPr>
      </w:pPr>
      <w:r>
        <w:rPr>
          <w:rFonts w:ascii="Arial" w:hAnsi="Arial" w:eastAsia="Arial" w:cs="Arial"/>
          <w:b/>
        </w:rPr>
        <w:t xml:space="preserve">21.16.</w:t>
      </w:r>
      <w:r>
        <w:rPr>
          <w:rFonts w:ascii="Arial" w:hAnsi="Arial" w:eastAsia="Arial" w:cs="Arial"/>
        </w:rPr>
        <w:t xml:space="preserve"> Fornecer os equipamentos, sistemas e/ou serviços em pe</w:t>
      </w:r>
      <w:r>
        <w:rPr>
          <w:rFonts w:ascii="Arial" w:hAnsi="Arial" w:eastAsia="Arial" w:cs="Arial"/>
        </w:rPr>
        <w:t xml:space="preserve">rfeitas condições, novos, originais e devidamente embalados, acompanhados da respectiva nota fiscal e certificado de garantia do fabricante/fornecedor, em língua portuguesa, responsabilizando-se pela qualidade e conformidade com as especificações técnicas.</w:t>
      </w:r>
      <w:r>
        <w:rPr>
          <w:rFonts w:ascii="Arial" w:hAnsi="Arial" w:eastAsia="Arial" w:cs="Arial"/>
        </w:rPr>
      </w:r>
    </w:p>
    <w:p w14:paraId="3D34E356"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310235BB" w14:textId="77777777">
      <w:pPr>
        <w:pBdr/>
        <w:tabs>
          <w:tab w:val="left" w:leader="none" w:pos="567"/>
        </w:tabs>
        <w:spacing/>
        <w:ind/>
        <w:jc w:val="both"/>
        <w:rPr>
          <w:rFonts w:ascii="Arial" w:hAnsi="Arial" w:cs="Arial"/>
        </w:rPr>
      </w:pPr>
      <w:r>
        <w:rPr>
          <w:rFonts w:ascii="Arial" w:hAnsi="Arial" w:eastAsia="Arial" w:cs="Arial"/>
          <w:b/>
        </w:rPr>
        <w:t xml:space="preserve">21.17.</w:t>
      </w:r>
      <w:r>
        <w:rPr>
          <w:rFonts w:ascii="Arial" w:hAnsi="Arial" w:eastAsia="Arial" w:cs="Arial"/>
        </w:rPr>
        <w:t xml:space="preserve"> </w:t>
      </w:r>
      <w:r>
        <w:rPr>
          <w:rFonts w:ascii="Arial" w:hAnsi="Arial" w:cs="Arial"/>
        </w:rPr>
        <w:t xml:space="preserve">Receber e dar o tratamento adequado a denúncias de discriminação, violência e assédio no ambiente de trabalho. </w:t>
      </w:r>
      <w:r>
        <w:rPr>
          <w:rFonts w:ascii="Arial" w:hAnsi="Arial" w:cs="Arial"/>
        </w:rPr>
      </w:r>
    </w:p>
    <w:p w14:paraId="3CD41875" w14:textId="77777777">
      <w:pPr>
        <w:pBdr/>
        <w:tabs>
          <w:tab w:val="left" w:leader="none" w:pos="567"/>
        </w:tabs>
        <w:spacing/>
        <w:ind/>
        <w:jc w:val="both"/>
        <w:rPr>
          <w:rFonts w:ascii="Arial" w:hAnsi="Arial" w:cs="Arial"/>
        </w:rPr>
      </w:pPr>
      <w:r>
        <w:rPr>
          <w:rFonts w:ascii="Arial" w:hAnsi="Arial" w:cs="Arial"/>
        </w:rPr>
      </w:r>
      <w:r>
        <w:rPr>
          <w:rFonts w:ascii="Arial" w:hAnsi="Arial" w:cs="Arial"/>
        </w:rPr>
      </w:r>
    </w:p>
    <w:p w14:paraId="2FBB0BF5" w14:textId="77777777">
      <w:pPr>
        <w:pBdr/>
        <w:tabs>
          <w:tab w:val="left" w:leader="none" w:pos="567"/>
        </w:tabs>
        <w:spacing/>
        <w:ind/>
        <w:jc w:val="both"/>
        <w:rPr>
          <w:rFonts w:ascii="Arial" w:hAnsi="Arial" w:cs="Arial"/>
        </w:rPr>
      </w:pPr>
      <w:r>
        <w:rPr>
          <w:rFonts w:ascii="Arial" w:hAnsi="Arial" w:cs="Arial"/>
          <w:b/>
        </w:rPr>
        <w:t xml:space="preserve">21.18</w:t>
      </w:r>
      <w:r>
        <w:rPr>
          <w:rFonts w:ascii="Arial" w:hAnsi="Arial" w:cs="Arial"/>
        </w:rPr>
        <w:t xml:space="preserve">. Cumprir, durante todo o período de execução do contrato, a reserva de cargos prevista em lei para pessoa com deficiência</w:t>
      </w:r>
      <w:r>
        <w:rPr>
          <w:rFonts w:ascii="Arial" w:hAnsi="Arial" w:cs="Arial"/>
        </w:rPr>
        <w:t xml:space="preserve"> ou para reabilitado da Previdência Social, bem como as regras de acessibilidade previstas na legislação, quando a contratada houver se beneficiado da preferência estabelecida pela Lei nº 13.146, de 2015 (art. 116 da Lei nº 14.133, de 1º de abril de 2021).</w:t>
      </w:r>
      <w:r>
        <w:rPr>
          <w:rFonts w:ascii="Arial" w:hAnsi="Arial" w:cs="Arial"/>
        </w:rPr>
      </w:r>
    </w:p>
    <w:p w14:paraId="35C68C79" w14:textId="77777777">
      <w:pPr>
        <w:pBdr/>
        <w:tabs>
          <w:tab w:val="left" w:leader="none" w:pos="567"/>
        </w:tabs>
        <w:spacing/>
        <w:ind/>
        <w:jc w:val="both"/>
        <w:rPr>
          <w:rFonts w:ascii="Arial" w:hAnsi="Arial" w:cs="Arial"/>
        </w:rPr>
      </w:pPr>
      <w:r>
        <w:rPr>
          <w:rFonts w:ascii="Arial" w:hAnsi="Arial" w:cs="Arial"/>
        </w:rPr>
      </w:r>
      <w:r>
        <w:rPr>
          <w:rFonts w:ascii="Arial" w:hAnsi="Arial" w:cs="Arial"/>
        </w:rPr>
      </w:r>
    </w:p>
    <w:p w14:paraId="1D07C8F6" w14:textId="77777777">
      <w:pPr>
        <w:pBdr/>
        <w:tabs>
          <w:tab w:val="left" w:leader="none" w:pos="567"/>
        </w:tabs>
        <w:spacing/>
        <w:ind/>
        <w:jc w:val="both"/>
        <w:rPr>
          <w:rFonts w:ascii="Arial" w:hAnsi="Arial" w:cs="Arial"/>
        </w:rPr>
      </w:pPr>
      <w:r>
        <w:rPr>
          <w:rFonts w:ascii="Arial" w:hAnsi="Arial" w:cs="Arial"/>
          <w:b/>
        </w:rPr>
        <w:t xml:space="preserve">21.19.</w:t>
      </w:r>
      <w:r>
        <w:rPr>
          <w:rFonts w:ascii="Arial" w:hAnsi="Arial" w:cs="Arial"/>
        </w:rPr>
        <w:t xml:space="preserve"> Fornecer a seus funcionários uniformes e equipamentos de proteção individual (EPIs) e coletiva adequados à execução do objeto e de acordo com as normas de segurança vigentes.</w:t>
      </w:r>
      <w:r>
        <w:rPr>
          <w:rFonts w:ascii="Arial" w:hAnsi="Arial" w:cs="Arial"/>
        </w:rPr>
      </w:r>
    </w:p>
    <w:p w14:paraId="4EB55863"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1E0CB1B2" w14:textId="77777777">
      <w:pPr>
        <w:pStyle w:val="882"/>
        <w:pBdr/>
        <w:spacing w:after="0" w:before="0"/>
        <w:ind/>
        <w:rPr>
          <w:sz w:val="20"/>
          <w:szCs w:val="20"/>
          <w:lang w:val="pt-BR"/>
        </w:rPr>
      </w:pPr>
      <w:r/>
      <w:bookmarkStart w:id="33" w:name="_heading=h.xtnz234806qe"/>
      <w:r/>
      <w:bookmarkStart w:id="34" w:name="_heading=h.al53oogeq01r"/>
      <w:r/>
      <w:bookmarkEnd w:id="33"/>
      <w:r/>
      <w:bookmarkEnd w:id="34"/>
      <w:r>
        <w:rPr>
          <w:rFonts w:eastAsia="SimSun"/>
          <w:sz w:val="20"/>
          <w:szCs w:val="20"/>
          <w:lang w:val="pt-BR"/>
        </w:rPr>
        <w:t xml:space="preserve">22. DAS INFRAÇÕES ADMINISTRATIVAS E SANÇÕES:</w:t>
      </w:r>
      <w:r>
        <w:rPr>
          <w:sz w:val="20"/>
          <w:szCs w:val="20"/>
          <w:lang w:val="pt-BR"/>
        </w:rPr>
      </w:r>
    </w:p>
    <w:p w14:paraId="6809CA6F" w14:textId="77777777">
      <w:pPr>
        <w:pBdr/>
        <w:spacing/>
        <w:ind/>
        <w:jc w:val="both"/>
        <w:rPr>
          <w:rFonts w:ascii="Arial" w:hAnsi="Arial" w:cs="Arial"/>
        </w:rPr>
      </w:pPr>
      <w:r/>
      <w:bookmarkStart w:id="35" w:name="_Hlk114652595"/>
      <w:r/>
      <w:bookmarkEnd w:id="35"/>
      <w:r/>
      <w:r>
        <w:rPr>
          <w:rFonts w:ascii="Arial" w:hAnsi="Arial" w:cs="Arial"/>
        </w:rPr>
      </w:r>
    </w:p>
    <w:p w14:paraId="5AA7FD2F" w14:textId="77777777">
      <w:pPr>
        <w:pBdr/>
        <w:tabs>
          <w:tab w:val="left" w:leader="none" w:pos="3514"/>
        </w:tabs>
        <w:spacing/>
        <w:ind/>
        <w:jc w:val="both"/>
        <w:rPr>
          <w:rFonts w:ascii="Arial" w:hAnsi="Arial" w:cs="Arial"/>
        </w:rPr>
      </w:pPr>
      <w:r>
        <w:rPr>
          <w:rFonts w:ascii="Arial" w:hAnsi="Arial" w:cs="Arial"/>
          <w:b/>
          <w:bCs/>
        </w:rPr>
        <w:t xml:space="preserve">22.1.</w:t>
      </w:r>
      <w:r>
        <w:rPr>
          <w:rFonts w:ascii="Arial" w:hAnsi="Arial" w:cs="Arial"/>
        </w:rPr>
        <w:t xml:space="preserve"> A aplicação de penalidade é de competência das Secretaria Municipal de Administração, Gestão de Pessoas e Inovação, ressalvado o caso de Advertência;</w:t>
      </w:r>
      <w:r>
        <w:rPr>
          <w:rFonts w:ascii="Arial" w:hAnsi="Arial" w:cs="Arial"/>
        </w:rPr>
      </w:r>
    </w:p>
    <w:p w14:paraId="79A8CD63"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5BDC3C95" w14:textId="77777777">
      <w:pPr>
        <w:pBdr/>
        <w:tabs>
          <w:tab w:val="left" w:leader="none" w:pos="3514"/>
        </w:tabs>
        <w:spacing/>
        <w:ind/>
        <w:jc w:val="both"/>
        <w:rPr>
          <w:rFonts w:ascii="Arial" w:hAnsi="Arial" w:cs="Arial"/>
        </w:rPr>
      </w:pPr>
      <w:r>
        <w:rPr>
          <w:rFonts w:ascii="Arial" w:hAnsi="Arial" w:cs="Arial"/>
          <w:b/>
        </w:rPr>
        <w:t xml:space="preserve">22.2.</w:t>
      </w:r>
      <w:r>
        <w:rPr>
          <w:rFonts w:ascii="Arial" w:hAnsi="Arial" w:cs="Arial"/>
        </w:rPr>
        <w:t xml:space="preserve"> A</w:t>
      </w:r>
      <w:r>
        <w:rPr>
          <w:rFonts w:ascii="Arial" w:hAnsi="Arial" w:cs="Arial"/>
        </w:rPr>
        <w:t xml:space="preserve"> Contratada ficará sujeita as seguintes penalidades, caso deixar de cumprir os prazos e demais obrigações assumidas, observado o contraditório e ampla defesa nos termos do artigo 6º, XXIII da Lei de Licitações 14.133/2021 e o Decreto Municipal 11.685/2023;</w:t>
      </w:r>
      <w:r>
        <w:rPr>
          <w:rFonts w:ascii="Arial" w:hAnsi="Arial" w:cs="Arial"/>
        </w:rPr>
      </w:r>
    </w:p>
    <w:p w14:paraId="2B0D1671"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3022BFA0" w14:textId="77777777">
      <w:pPr>
        <w:pBdr/>
        <w:tabs>
          <w:tab w:val="left" w:leader="none" w:pos="3514"/>
        </w:tabs>
        <w:spacing/>
        <w:ind/>
        <w:jc w:val="both"/>
        <w:rPr>
          <w:rFonts w:ascii="Arial" w:hAnsi="Arial" w:cs="Arial"/>
        </w:rPr>
      </w:pPr>
      <w:r>
        <w:rPr>
          <w:rFonts w:ascii="Arial" w:hAnsi="Arial" w:cs="Arial"/>
          <w:b/>
          <w:bCs/>
        </w:rPr>
        <w:t xml:space="preserve">22.2.1</w:t>
      </w:r>
      <w:r>
        <w:rPr>
          <w:rFonts w:ascii="Arial" w:hAnsi="Arial" w:cs="Arial"/>
        </w:rPr>
        <w:t xml:space="preserve">. </w:t>
      </w:r>
      <w:r>
        <w:rPr>
          <w:rFonts w:ascii="Arial" w:hAnsi="Arial" w:cs="Arial"/>
          <w:b/>
        </w:rPr>
        <w:t xml:space="preserve">Advertências:</w:t>
      </w:r>
      <w:r>
        <w:rPr>
          <w:rFonts w:ascii="Arial" w:hAnsi="Arial" w:cs="Arial"/>
        </w:rPr>
      </w:r>
    </w:p>
    <w:p w14:paraId="401E170B"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5D66EA7E" w14:textId="77777777">
      <w:pPr>
        <w:pBdr/>
        <w:tabs>
          <w:tab w:val="left" w:leader="none" w:pos="3514"/>
        </w:tabs>
        <w:spacing/>
        <w:ind/>
        <w:jc w:val="both"/>
        <w:rPr>
          <w:rFonts w:ascii="Arial" w:hAnsi="Arial" w:cs="Arial"/>
        </w:rPr>
      </w:pPr>
      <w:r>
        <w:rPr>
          <w:rFonts w:ascii="Arial" w:hAnsi="Arial" w:cs="Arial"/>
        </w:rPr>
        <w:t xml:space="preserve">a) Em qualquer hipótese de descumprimento do contrato;</w:t>
      </w:r>
      <w:r>
        <w:rPr>
          <w:rFonts w:ascii="Arial" w:hAnsi="Arial" w:cs="Arial"/>
        </w:rPr>
      </w:r>
    </w:p>
    <w:p w14:paraId="503EDA62"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164CD00C" w14:textId="77777777">
      <w:pPr>
        <w:pBdr/>
        <w:tabs>
          <w:tab w:val="left" w:leader="none" w:pos="3514"/>
        </w:tabs>
        <w:spacing/>
        <w:ind/>
        <w:jc w:val="both"/>
        <w:rPr>
          <w:rFonts w:ascii="Arial" w:hAnsi="Arial" w:cs="Arial"/>
        </w:rPr>
      </w:pPr>
      <w:r>
        <w:rPr>
          <w:rFonts w:ascii="Arial" w:hAnsi="Arial" w:cs="Arial"/>
        </w:rPr>
        <w:t xml:space="preserve">b) A penalidade de advertência será aplicada pela administração do órgão recebedor do bem/serviço ou pelo fiscal do contrato. No documento de advertência deverá constar de forma detalhada a narrativa da infração;</w:t>
      </w:r>
      <w:r>
        <w:rPr>
          <w:rFonts w:ascii="Arial" w:hAnsi="Arial" w:cs="Arial"/>
        </w:rPr>
      </w:r>
    </w:p>
    <w:p w14:paraId="1BD62C29"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0268E588" w14:textId="77777777">
      <w:pPr>
        <w:pBdr/>
        <w:tabs>
          <w:tab w:val="left" w:leader="none" w:pos="3514"/>
        </w:tabs>
        <w:spacing/>
        <w:ind/>
        <w:jc w:val="both"/>
        <w:rPr>
          <w:rFonts w:ascii="Arial" w:hAnsi="Arial" w:cs="Arial"/>
        </w:rPr>
      </w:pPr>
      <w:r>
        <w:rPr>
          <w:rFonts w:ascii="Arial" w:hAnsi="Arial" w:cs="Arial"/>
          <w:b/>
          <w:bCs/>
        </w:rPr>
        <w:t xml:space="preserve">22.2.2</w:t>
      </w:r>
      <w:r>
        <w:rPr>
          <w:rFonts w:ascii="Arial" w:hAnsi="Arial" w:cs="Arial"/>
        </w:rPr>
        <w:t xml:space="preserve">. </w:t>
      </w:r>
      <w:r>
        <w:rPr>
          <w:rFonts w:ascii="Arial" w:hAnsi="Arial" w:cs="Arial"/>
          <w:b/>
        </w:rPr>
        <w:t xml:space="preserve">Multa de Mora:</w:t>
      </w:r>
      <w:r>
        <w:rPr>
          <w:rFonts w:ascii="Arial" w:hAnsi="Arial" w:cs="Arial"/>
        </w:rPr>
      </w:r>
    </w:p>
    <w:p w14:paraId="0D3A5492"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11CB276E" w14:textId="77777777">
      <w:pPr>
        <w:pBdr/>
        <w:tabs>
          <w:tab w:val="left" w:leader="none" w:pos="3514"/>
        </w:tabs>
        <w:spacing/>
        <w:ind/>
        <w:jc w:val="both"/>
        <w:rPr>
          <w:rFonts w:ascii="Arial" w:hAnsi="Arial" w:cs="Arial"/>
        </w:rPr>
      </w:pPr>
      <w:r>
        <w:rPr>
          <w:rFonts w:ascii="Arial" w:hAnsi="Arial" w:cs="Arial"/>
        </w:rPr>
        <w:t xml:space="preserve">a) A multa de mora será aplicada pelo gestor do contrato e terá cabimento nas seguintes hipóteses;</w:t>
      </w:r>
      <w:r>
        <w:rPr>
          <w:rFonts w:ascii="Arial" w:hAnsi="Arial" w:cs="Arial"/>
        </w:rPr>
      </w:r>
    </w:p>
    <w:p w14:paraId="39B46EE2"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5A0EAD14" w14:textId="77777777">
      <w:pPr>
        <w:pBdr/>
        <w:tabs>
          <w:tab w:val="left" w:leader="none" w:pos="3514"/>
        </w:tabs>
        <w:spacing/>
        <w:ind/>
        <w:jc w:val="both"/>
        <w:rPr>
          <w:rFonts w:ascii="Arial" w:hAnsi="Arial" w:cs="Arial"/>
        </w:rPr>
      </w:pPr>
      <w:r>
        <w:rPr>
          <w:rFonts w:ascii="Arial" w:hAnsi="Arial" w:cs="Arial"/>
        </w:rPr>
        <w:t xml:space="preserve">b) Atraso na entrega e ou na troca de material/equipamento/serviço defeituosos: multa de 0,5% (meio por cento) do valor do contrato, por dia de atraso;</w:t>
      </w:r>
      <w:r>
        <w:rPr>
          <w:rFonts w:ascii="Arial" w:hAnsi="Arial" w:cs="Arial"/>
        </w:rPr>
      </w:r>
    </w:p>
    <w:p w14:paraId="0012B9AD" w14:textId="77777777">
      <w:pPr>
        <w:pBdr/>
        <w:tabs>
          <w:tab w:val="left" w:leader="none" w:pos="3514"/>
        </w:tabs>
        <w:spacing/>
        <w:ind/>
        <w:jc w:val="both"/>
        <w:rPr>
          <w:rFonts w:ascii="Arial" w:hAnsi="Arial" w:cs="Arial"/>
        </w:rPr>
      </w:pPr>
      <w:r>
        <w:rPr>
          <w:rFonts w:ascii="Arial" w:hAnsi="Arial" w:cs="Arial"/>
        </w:rPr>
        <w:t xml:space="preserve">c) O atraso injustificado na entrega/prestação dos material/equipamento/serviço por prazo superior a 10 (dez) dias, caracteriza inadimplemento do contrato, podendo a administração optar pela continuidade da multa moratória ou pela rescisão contratual;</w:t>
      </w:r>
      <w:r>
        <w:rPr>
          <w:rFonts w:ascii="Arial" w:hAnsi="Arial" w:cs="Arial"/>
        </w:rPr>
      </w:r>
    </w:p>
    <w:p w14:paraId="6969DA6B"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1CED1A09" w14:textId="77777777">
      <w:pPr>
        <w:pBdr/>
        <w:tabs>
          <w:tab w:val="left" w:leader="none" w:pos="3514"/>
        </w:tabs>
        <w:spacing/>
        <w:ind/>
        <w:jc w:val="both"/>
        <w:rPr>
          <w:rFonts w:ascii="Arial" w:hAnsi="Arial" w:cs="Arial"/>
        </w:rPr>
      </w:pPr>
      <w:r>
        <w:rPr>
          <w:rFonts w:ascii="Arial" w:hAnsi="Arial" w:cs="Arial"/>
        </w:rPr>
        <w:t xml:space="preserve">d) No caso em que o atraso não exceder 10 (dez) dias, mas restar prejudicada a finalidade da contratação, também caracterizará inadimplemento do contrato;</w:t>
      </w:r>
      <w:r>
        <w:rPr>
          <w:rFonts w:ascii="Arial" w:hAnsi="Arial" w:cs="Arial"/>
        </w:rPr>
      </w:r>
    </w:p>
    <w:p w14:paraId="4F0C803E"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2DA0B479" w14:textId="77777777">
      <w:pPr>
        <w:pBdr/>
        <w:tabs>
          <w:tab w:val="left" w:leader="none" w:pos="3514"/>
        </w:tabs>
        <w:spacing/>
        <w:ind/>
        <w:jc w:val="both"/>
        <w:rPr>
          <w:rFonts w:ascii="Arial" w:hAnsi="Arial" w:cs="Arial"/>
        </w:rPr>
      </w:pPr>
      <w:r>
        <w:rPr>
          <w:rFonts w:ascii="Arial" w:hAnsi="Arial" w:cs="Arial"/>
        </w:rPr>
        <w:t xml:space="preserve">e) Multa no valor de 5% (cinco por cento) do valor total do contrato caso a entrega/prestação do objeto não seja feito no local e horário especificados pela Secretaria Municipal demandante;</w:t>
      </w:r>
      <w:r>
        <w:rPr>
          <w:rFonts w:ascii="Arial" w:hAnsi="Arial" w:cs="Arial"/>
        </w:rPr>
      </w:r>
    </w:p>
    <w:p w14:paraId="093859A8"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51D43163" w14:textId="77777777">
      <w:pPr>
        <w:pBdr/>
        <w:tabs>
          <w:tab w:val="left" w:leader="none" w:pos="3514"/>
        </w:tabs>
        <w:spacing/>
        <w:ind/>
        <w:jc w:val="both"/>
        <w:rPr>
          <w:rFonts w:ascii="Arial" w:hAnsi="Arial" w:cs="Arial"/>
        </w:rPr>
      </w:pPr>
      <w:r>
        <w:rPr>
          <w:rFonts w:ascii="Arial" w:hAnsi="Arial" w:cs="Arial"/>
          <w:b/>
          <w:bCs/>
        </w:rPr>
        <w:t xml:space="preserve">22.2.3</w:t>
      </w:r>
      <w:r>
        <w:rPr>
          <w:rFonts w:ascii="Arial" w:hAnsi="Arial" w:cs="Arial"/>
        </w:rPr>
        <w:t xml:space="preserve">. </w:t>
      </w:r>
      <w:r>
        <w:rPr>
          <w:rFonts w:ascii="Arial" w:hAnsi="Arial" w:cs="Arial"/>
          <w:b/>
        </w:rPr>
        <w:t xml:space="preserve">Multa por inadimplemento total ou parcial:</w:t>
      </w:r>
      <w:r>
        <w:rPr>
          <w:rFonts w:ascii="Arial" w:hAnsi="Arial" w:cs="Arial"/>
        </w:rPr>
      </w:r>
    </w:p>
    <w:p w14:paraId="54777503"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05D0C9F6" w14:textId="77777777">
      <w:pPr>
        <w:pBdr/>
        <w:tabs>
          <w:tab w:val="left" w:leader="none" w:pos="3514"/>
        </w:tabs>
        <w:spacing/>
        <w:ind/>
        <w:jc w:val="both"/>
        <w:rPr>
          <w:rFonts w:ascii="Arial" w:hAnsi="Arial" w:cs="Arial"/>
        </w:rPr>
      </w:pPr>
      <w:r>
        <w:rPr>
          <w:rFonts w:ascii="Arial" w:hAnsi="Arial" w:cs="Arial"/>
        </w:rPr>
        <w:t xml:space="preserve">a) Caracteriza inadimplemento total do contrato quando a finalidade da contratação restar prejudicada;</w:t>
      </w:r>
      <w:r>
        <w:rPr>
          <w:rFonts w:ascii="Arial" w:hAnsi="Arial" w:cs="Arial"/>
        </w:rPr>
      </w:r>
    </w:p>
    <w:p w14:paraId="35E09BFD"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04CD068A" w14:textId="77777777">
      <w:pPr>
        <w:pBdr/>
        <w:tabs>
          <w:tab w:val="left" w:leader="none" w:pos="3514"/>
        </w:tabs>
        <w:spacing/>
        <w:ind/>
        <w:jc w:val="both"/>
        <w:rPr>
          <w:rFonts w:ascii="Arial" w:hAnsi="Arial" w:cs="Arial"/>
        </w:rPr>
      </w:pPr>
      <w:r>
        <w:rPr>
          <w:rFonts w:ascii="Arial" w:hAnsi="Arial" w:cs="Arial"/>
        </w:rPr>
        <w:t xml:space="preserve">b) Caracteriza inadimplemento parcial do contrato quando for cumprido apenas uma parte do objeto;</w:t>
      </w:r>
      <w:r>
        <w:rPr>
          <w:rFonts w:ascii="Arial" w:hAnsi="Arial" w:cs="Arial"/>
        </w:rPr>
      </w:r>
    </w:p>
    <w:p w14:paraId="48809680"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081A9973" w14:textId="77777777">
      <w:pPr>
        <w:pBdr/>
        <w:tabs>
          <w:tab w:val="left" w:leader="none" w:pos="3514"/>
        </w:tabs>
        <w:spacing/>
        <w:ind/>
        <w:jc w:val="both"/>
        <w:rPr>
          <w:rFonts w:ascii="Arial" w:hAnsi="Arial" w:cs="Arial"/>
        </w:rPr>
      </w:pPr>
      <w:r>
        <w:rPr>
          <w:rFonts w:ascii="Arial" w:hAnsi="Arial" w:cs="Arial"/>
        </w:rPr>
        <w:t xml:space="preserve">c) A inexecução total do contrato sujeitará a Contratada à multa de 20% (vinte por cento) do valor total do contrato, sem prejuízo das penalidades de Declaração de Inidoneidade ou Suspensão do Direito de Licitar;</w:t>
      </w:r>
      <w:r>
        <w:rPr>
          <w:rFonts w:ascii="Arial" w:hAnsi="Arial" w:cs="Arial"/>
        </w:rPr>
      </w:r>
    </w:p>
    <w:p w14:paraId="7F7D884C"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0DE2BC4E" w14:textId="77777777">
      <w:pPr>
        <w:pBdr/>
        <w:tabs>
          <w:tab w:val="left" w:leader="none" w:pos="3514"/>
        </w:tabs>
        <w:spacing/>
        <w:ind/>
        <w:jc w:val="both"/>
        <w:rPr>
          <w:rFonts w:ascii="Arial" w:hAnsi="Arial" w:cs="Arial"/>
        </w:rPr>
      </w:pPr>
      <w:r>
        <w:rPr>
          <w:rFonts w:ascii="Arial" w:hAnsi="Arial" w:cs="Arial"/>
        </w:rPr>
        <w:t xml:space="preserve">d) O fornecimento parcial no que tange aos quantitativos solicitados do objeto sujeitará a Contratada à multa de 5% (cinco por cento) do valor do contrato, sem prejuízo da reposição;</w:t>
      </w:r>
      <w:r>
        <w:rPr>
          <w:rFonts w:ascii="Arial" w:hAnsi="Arial" w:cs="Arial"/>
        </w:rPr>
      </w:r>
    </w:p>
    <w:p w14:paraId="4E5EB701"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229F83D2" w14:textId="77777777">
      <w:pPr>
        <w:pBdr/>
        <w:tabs>
          <w:tab w:val="left" w:leader="none" w:pos="3514"/>
        </w:tabs>
        <w:spacing/>
        <w:ind/>
        <w:jc w:val="both"/>
        <w:rPr>
          <w:rFonts w:ascii="Arial" w:hAnsi="Arial" w:cs="Arial"/>
        </w:rPr>
      </w:pPr>
      <w:r>
        <w:rPr>
          <w:rFonts w:ascii="Arial" w:hAnsi="Arial" w:cs="Arial"/>
        </w:rPr>
        <w:t xml:space="preserve">e) O fornecimento do objeto em níveis de qualidade inferior ou diverso ao ofertado na proposta de preços sujeita a Contratada à multa de 5% (cinco por cento) do valor total do contrato, devendo ainda os materiais/equipamentos/serviços ser substituídos;</w:t>
      </w:r>
      <w:r>
        <w:rPr>
          <w:rFonts w:ascii="Arial" w:hAnsi="Arial" w:cs="Arial"/>
        </w:rPr>
      </w:r>
    </w:p>
    <w:p w14:paraId="5C90DCB0"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3C6F3E21" w14:textId="77777777">
      <w:pPr>
        <w:pBdr/>
        <w:tabs>
          <w:tab w:val="left" w:leader="none" w:pos="3514"/>
        </w:tabs>
        <w:spacing/>
        <w:ind/>
        <w:jc w:val="both"/>
        <w:rPr>
          <w:rFonts w:ascii="Arial" w:hAnsi="Arial" w:cs="Arial"/>
        </w:rPr>
      </w:pPr>
      <w:r>
        <w:rPr>
          <w:rFonts w:ascii="Arial" w:hAnsi="Arial" w:cs="Arial"/>
        </w:rPr>
        <w:t xml:space="preserve">f) Suspensão temporária do direito de licitar e contratar com a Administração Municipal pelo prazo de até 02 (dois) anos;</w:t>
      </w:r>
      <w:r>
        <w:rPr>
          <w:rFonts w:ascii="Arial" w:hAnsi="Arial" w:cs="Arial"/>
        </w:rPr>
      </w:r>
    </w:p>
    <w:p w14:paraId="12AF4AF0"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69DA8F95" w14:textId="77777777">
      <w:pPr>
        <w:pBdr/>
        <w:tabs>
          <w:tab w:val="left" w:leader="none" w:pos="3514"/>
        </w:tabs>
        <w:spacing/>
        <w:ind/>
        <w:jc w:val="both"/>
        <w:rPr>
          <w:rFonts w:ascii="Arial" w:hAnsi="Arial" w:cs="Arial"/>
        </w:rPr>
      </w:pPr>
      <w:r>
        <w:rPr>
          <w:rFonts w:ascii="Arial" w:hAnsi="Arial" w:cs="Arial"/>
        </w:rPr>
        <w:t xml:space="preserve">g) Declaração de inidoneidade, enquanto perdurarem os motivos da punição ou até que seja promovida a reabilitação perante a própria autoridade que aplicou a penalidade;</w:t>
      </w:r>
      <w:r>
        <w:rPr>
          <w:rFonts w:ascii="Arial" w:hAnsi="Arial" w:cs="Arial"/>
        </w:rPr>
      </w:r>
    </w:p>
    <w:p w14:paraId="00C34264"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5DD6A216" w14:textId="77777777">
      <w:pPr>
        <w:pBdr/>
        <w:tabs>
          <w:tab w:val="left" w:leader="none" w:pos="3514"/>
        </w:tabs>
        <w:spacing/>
        <w:ind/>
        <w:jc w:val="both"/>
        <w:rPr>
          <w:rFonts w:ascii="Arial" w:hAnsi="Arial" w:cs="Arial"/>
        </w:rPr>
      </w:pPr>
      <w:r>
        <w:rPr>
          <w:rFonts w:ascii="Arial" w:hAnsi="Arial" w:cs="Arial"/>
          <w:b/>
          <w:bCs/>
        </w:rPr>
        <w:t xml:space="preserve">22.3.</w:t>
      </w:r>
      <w:r>
        <w:rPr>
          <w:rFonts w:ascii="Arial" w:hAnsi="Arial" w:cs="Arial"/>
        </w:rPr>
        <w:t xml:space="preserve"> O valor das multas aplicadas serão sempre deduzidas do pagamento da Nota Fiscal ou em caso de ausência de saldo a receber, deverá ser cobrado judicialmente;</w:t>
      </w:r>
      <w:r>
        <w:rPr>
          <w:rFonts w:ascii="Arial" w:hAnsi="Arial" w:cs="Arial"/>
        </w:rPr>
      </w:r>
    </w:p>
    <w:p w14:paraId="0E1502D5"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571A6657" w14:textId="77777777">
      <w:pPr>
        <w:pBdr/>
        <w:tabs>
          <w:tab w:val="left" w:leader="none" w:pos="3514"/>
        </w:tabs>
        <w:spacing/>
        <w:ind/>
        <w:jc w:val="both"/>
        <w:rPr>
          <w:rFonts w:ascii="Arial" w:hAnsi="Arial" w:cs="Arial"/>
        </w:rPr>
      </w:pPr>
      <w:r>
        <w:rPr>
          <w:rFonts w:ascii="Arial" w:hAnsi="Arial" w:cs="Arial"/>
          <w:b/>
          <w:bCs/>
        </w:rPr>
        <w:t xml:space="preserve">22.4.</w:t>
      </w:r>
      <w:r>
        <w:rPr>
          <w:rFonts w:ascii="Arial" w:hAnsi="Arial" w:cs="Arial"/>
        </w:rPr>
        <w:t xml:space="preserve"> As ocorrências relacionadas com a execução do contrato serão anotadas pelo fiscal do contrato nos moldes do artigo 6º, XXIII da Lei de Licitações 14.133/2021 e o Decreto Municipal 11.685/2023;</w:t>
      </w:r>
      <w:r>
        <w:rPr>
          <w:rFonts w:ascii="Arial" w:hAnsi="Arial" w:cs="Arial"/>
        </w:rPr>
      </w:r>
    </w:p>
    <w:p w14:paraId="2AD503F4"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49057424" w14:textId="77777777">
      <w:pPr>
        <w:pBdr/>
        <w:tabs>
          <w:tab w:val="left" w:leader="none" w:pos="3514"/>
        </w:tabs>
        <w:spacing/>
        <w:ind/>
        <w:jc w:val="both"/>
        <w:rPr>
          <w:rFonts w:ascii="Arial" w:hAnsi="Arial" w:cs="Arial"/>
        </w:rPr>
      </w:pPr>
      <w:r>
        <w:rPr>
          <w:rFonts w:ascii="Arial" w:hAnsi="Arial" w:cs="Arial"/>
          <w:b/>
          <w:bCs/>
        </w:rPr>
        <w:t xml:space="preserve">22.5</w:t>
      </w:r>
      <w:r>
        <w:rPr>
          <w:rFonts w:ascii="Arial" w:hAnsi="Arial" w:cs="Arial"/>
        </w:rPr>
        <w:t xml:space="preserve">. As multas previstas não têm caráter compensatório e, consequentemente, o pagamento delas não eximem a Contratada da reparação dos eventuais danos, perdas ou prejuízos que seu ato punível ve</w:t>
      </w:r>
      <w:bookmarkStart w:id="36" w:name="__RefHeading___Toc190782030"/>
      <w:r>
        <w:rPr>
          <w:rFonts w:ascii="Arial" w:hAnsi="Arial" w:cs="Arial"/>
        </w:rPr>
        <w:t xml:space="preserve">nha a acarretar à administração.</w:t>
      </w:r>
      <w:r>
        <w:rPr>
          <w:rFonts w:ascii="Arial" w:hAnsi="Arial" w:cs="Arial"/>
        </w:rPr>
      </w:r>
    </w:p>
    <w:p w14:paraId="7145745F" w14:textId="77777777">
      <w:pPr>
        <w:pBdr/>
        <w:tabs>
          <w:tab w:val="left" w:leader="none" w:pos="3514"/>
        </w:tabs>
        <w:spacing/>
        <w:ind/>
        <w:jc w:val="both"/>
        <w:rPr>
          <w:rFonts w:ascii="Arial" w:hAnsi="Arial" w:cs="Arial"/>
        </w:rPr>
      </w:pPr>
      <w:r>
        <w:rPr>
          <w:rFonts w:ascii="Arial" w:hAnsi="Arial" w:cs="Arial"/>
        </w:rPr>
      </w:r>
      <w:r>
        <w:rPr>
          <w:rFonts w:ascii="Arial" w:hAnsi="Arial" w:cs="Arial"/>
        </w:rPr>
      </w:r>
    </w:p>
    <w:p w14:paraId="108E64EA" w14:textId="77777777">
      <w:pPr>
        <w:pBdr/>
        <w:tabs>
          <w:tab w:val="left" w:leader="none" w:pos="3514"/>
        </w:tabs>
        <w:spacing/>
        <w:ind/>
        <w:jc w:val="both"/>
        <w:rPr>
          <w:rFonts w:ascii="Arial" w:hAnsi="Arial" w:cs="Arial"/>
        </w:rPr>
      </w:pPr>
      <w:r>
        <w:rPr>
          <w:rFonts w:ascii="Arial" w:hAnsi="Arial" w:eastAsia="SimSun" w:cs="Arial"/>
          <w:b/>
        </w:rPr>
        <w:t xml:space="preserve">23. GESTÃO DE CONTRATO E FISCALIZAÇÃO:</w:t>
      </w:r>
      <w:r>
        <w:rPr>
          <w:rFonts w:ascii="Arial" w:hAnsi="Arial" w:cs="Arial"/>
        </w:rPr>
      </w:r>
    </w:p>
    <w:p w14:paraId="41C216FC" w14:textId="77777777">
      <w:pPr>
        <w:pBdr/>
        <w:tabs>
          <w:tab w:val="left" w:leader="none" w:pos="3514"/>
        </w:tabs>
        <w:spacing/>
        <w:ind/>
        <w:jc w:val="both"/>
        <w:rPr>
          <w:rFonts w:ascii="Arial" w:hAnsi="Arial" w:eastAsia="SimSun" w:cs="Arial"/>
          <w:b/>
        </w:rPr>
      </w:pPr>
      <w:r>
        <w:rPr>
          <w:rFonts w:ascii="Arial" w:hAnsi="Arial" w:eastAsia="SimSun" w:cs="Arial"/>
          <w:b/>
        </w:rPr>
      </w:r>
      <w:r>
        <w:rPr>
          <w:rFonts w:ascii="Arial" w:hAnsi="Arial" w:eastAsia="SimSun" w:cs="Arial"/>
          <w:b/>
        </w:rPr>
      </w:r>
    </w:p>
    <w:p w14:paraId="4DF8A14E" w14:textId="77777777">
      <w:pPr>
        <w:pBdr/>
        <w:tabs>
          <w:tab w:val="left" w:leader="none" w:pos="3514"/>
        </w:tabs>
        <w:spacing/>
        <w:ind/>
        <w:jc w:val="both"/>
        <w:rPr>
          <w:rFonts w:ascii="Arial" w:hAnsi="Arial" w:cs="Arial"/>
        </w:rPr>
      </w:pPr>
      <w:r>
        <w:rPr>
          <w:rFonts w:ascii="Arial" w:hAnsi="Arial" w:eastAsia="SimSun" w:cs="Arial"/>
          <w:b/>
        </w:rPr>
        <w:t xml:space="preserve">23.1</w:t>
      </w:r>
      <w:r>
        <w:rPr>
          <w:rFonts w:ascii="Arial" w:hAnsi="Arial" w:eastAsia="SimSun" w:cs="Arial"/>
        </w:rPr>
        <w:t xml:space="preserve">.O regime de execução contratual, os modelos de gestão e de execução, assim como os prazos, condições de conclusão e a entrega estão indicados no Termo de Referência.</w:t>
      </w:r>
      <w:r>
        <w:rPr>
          <w:rFonts w:ascii="Arial" w:hAnsi="Arial" w:cs="Arial"/>
        </w:rPr>
      </w:r>
    </w:p>
    <w:p w14:paraId="56510C6B" w14:textId="77777777">
      <w:pPr>
        <w:pBdr/>
        <w:tabs>
          <w:tab w:val="left" w:leader="none" w:pos="3514"/>
        </w:tabs>
        <w:spacing/>
        <w:ind/>
        <w:jc w:val="both"/>
        <w:rPr>
          <w:rFonts w:ascii="Arial" w:hAnsi="Arial" w:eastAsia="SimSun" w:cs="Arial"/>
          <w:b/>
        </w:rPr>
      </w:pPr>
      <w:r>
        <w:rPr>
          <w:rFonts w:ascii="Arial" w:hAnsi="Arial" w:eastAsia="SimSun" w:cs="Arial"/>
          <w:b/>
        </w:rPr>
      </w:r>
      <w:r>
        <w:rPr>
          <w:rFonts w:ascii="Arial" w:hAnsi="Arial" w:eastAsia="SimSun" w:cs="Arial"/>
          <w:b/>
        </w:rPr>
      </w:r>
    </w:p>
    <w:p w14:paraId="7E5651F7" w14:textId="77777777">
      <w:pPr>
        <w:pBdr/>
        <w:tabs>
          <w:tab w:val="left" w:leader="none" w:pos="3514"/>
        </w:tabs>
        <w:spacing/>
        <w:ind/>
        <w:jc w:val="both"/>
        <w:rPr>
          <w:rFonts w:ascii="Arial" w:hAnsi="Arial" w:cs="Arial"/>
        </w:rPr>
      </w:pPr>
      <w:r>
        <w:rPr>
          <w:rFonts w:ascii="Arial" w:hAnsi="Arial" w:eastAsia="SimSun" w:cs="Arial"/>
          <w:b/>
        </w:rPr>
        <w:t xml:space="preserve">23.2.</w:t>
      </w:r>
      <w:r>
        <w:rPr>
          <w:rFonts w:ascii="Arial" w:hAnsi="Arial" w:eastAsia="SimSun" w:cs="Arial"/>
        </w:rPr>
        <w:t xml:space="preserve"> O contrato deverá ser executado fielmente pelas partes, de acordo com as cláusulas avençadas e as normas da Lei n.º 14.133/2021, e cada parte responderá pelas consequências de sua inexecução total ou parcial.</w:t>
      </w:r>
      <w:r>
        <w:rPr>
          <w:rFonts w:ascii="Arial" w:hAnsi="Arial" w:cs="Arial"/>
        </w:rPr>
      </w:r>
    </w:p>
    <w:p w14:paraId="50935C8D" w14:textId="77777777">
      <w:pPr>
        <w:pBdr/>
        <w:tabs>
          <w:tab w:val="left" w:leader="none" w:pos="3514"/>
        </w:tabs>
        <w:spacing/>
        <w:ind/>
        <w:jc w:val="both"/>
        <w:rPr>
          <w:rFonts w:ascii="Arial" w:hAnsi="Arial" w:eastAsia="SimSun" w:cs="Arial"/>
        </w:rPr>
      </w:pPr>
      <w:r>
        <w:rPr>
          <w:rFonts w:ascii="Arial" w:hAnsi="Arial" w:eastAsia="SimSun" w:cs="Arial"/>
        </w:rPr>
      </w:r>
      <w:r>
        <w:rPr>
          <w:rFonts w:ascii="Arial" w:hAnsi="Arial" w:eastAsia="SimSun" w:cs="Arial"/>
        </w:rPr>
      </w:r>
    </w:p>
    <w:p w14:paraId="405275BF" w14:textId="77777777">
      <w:pPr>
        <w:pBdr/>
        <w:tabs>
          <w:tab w:val="left" w:leader="none" w:pos="3514"/>
        </w:tabs>
        <w:spacing/>
        <w:ind/>
        <w:jc w:val="both"/>
        <w:rPr>
          <w:rFonts w:ascii="Arial" w:hAnsi="Arial" w:eastAsia="SimSun" w:cs="Arial"/>
          <w:b/>
          <w:u w:val="single"/>
        </w:rPr>
      </w:pPr>
      <w:r>
        <w:rPr>
          <w:rFonts w:ascii="Arial" w:hAnsi="Arial" w:eastAsia="SimSun" w:cs="Arial"/>
          <w:b/>
          <w:u w:val="single"/>
        </w:rPr>
        <w:t xml:space="preserve">23.3. O recebimento do produto ou serviço será feito pela SECRETARIA MUNICIPAL DE PROMOÇÃO E ASSISTENCIA SOCIAL, que verificará as especificações e a qualidade dos produtos adquiridos.</w:t>
      </w:r>
      <w:r>
        <w:rPr>
          <w:rFonts w:ascii="Arial" w:hAnsi="Arial" w:eastAsia="SimSun" w:cs="Arial"/>
          <w:b/>
          <w:u w:val="single"/>
        </w:rPr>
      </w:r>
    </w:p>
    <w:p w14:paraId="367C0923" w14:textId="77777777">
      <w:pPr>
        <w:pBdr/>
        <w:tabs>
          <w:tab w:val="left" w:leader="none" w:pos="3514"/>
        </w:tabs>
        <w:spacing/>
        <w:ind/>
        <w:jc w:val="both"/>
        <w:rPr>
          <w:rFonts w:ascii="Arial" w:hAnsi="Arial" w:eastAsia="SimSun" w:cs="Arial"/>
        </w:rPr>
      </w:pPr>
      <w:r>
        <w:rPr>
          <w:rFonts w:ascii="Arial" w:hAnsi="Arial" w:eastAsia="SimSun" w:cs="Arial"/>
        </w:rPr>
      </w:r>
      <w:r>
        <w:rPr>
          <w:rFonts w:ascii="Arial" w:hAnsi="Arial" w:eastAsia="SimSun" w:cs="Arial"/>
        </w:rPr>
      </w:r>
    </w:p>
    <w:p w14:paraId="4F775B01" w14:textId="77777777">
      <w:pPr>
        <w:pBdr/>
        <w:tabs>
          <w:tab w:val="left" w:leader="none" w:pos="3514"/>
        </w:tabs>
        <w:spacing/>
        <w:ind/>
        <w:jc w:val="both"/>
        <w:rPr>
          <w:rFonts w:ascii="Arial" w:hAnsi="Arial" w:cs="Arial"/>
        </w:rPr>
      </w:pPr>
      <w:r>
        <w:rPr>
          <w:rFonts w:ascii="Arial" w:hAnsi="Arial" w:eastAsia="SimSun" w:cs="Arial"/>
          <w:b/>
        </w:rPr>
        <w:t xml:space="preserve">23.3.1.</w:t>
      </w:r>
      <w:r>
        <w:rPr>
          <w:rFonts w:ascii="Arial" w:hAnsi="Arial" w:eastAsia="SimSun" w:cs="Arial"/>
        </w:rPr>
        <w:t xml:space="preserve"> A execução do contrato deverá ser acompanhada e fiscalizada pelo (a) fiscal do contrato, ou, em caso de afastamentos legais, pelos respectivos (as) substitutos (as).</w:t>
      </w:r>
      <w:r>
        <w:rPr>
          <w:rFonts w:ascii="Arial" w:hAnsi="Arial" w:cs="Arial"/>
        </w:rPr>
      </w:r>
    </w:p>
    <w:p w14:paraId="30EB26A8" w14:textId="77777777">
      <w:pPr>
        <w:pBdr/>
        <w:tabs>
          <w:tab w:val="left" w:leader="none" w:pos="3514"/>
        </w:tabs>
        <w:spacing/>
        <w:ind/>
        <w:jc w:val="both"/>
        <w:rPr>
          <w:rFonts w:ascii="Arial" w:hAnsi="Arial" w:eastAsia="SimSun" w:cs="Arial"/>
        </w:rPr>
      </w:pPr>
      <w:r>
        <w:rPr>
          <w:rFonts w:ascii="Arial" w:hAnsi="Arial" w:eastAsia="SimSun" w:cs="Arial"/>
        </w:rPr>
      </w:r>
      <w:r>
        <w:rPr>
          <w:rFonts w:ascii="Arial" w:hAnsi="Arial" w:eastAsia="SimSun" w:cs="Arial"/>
        </w:rPr>
      </w:r>
    </w:p>
    <w:p w14:paraId="4836C715" w14:textId="77777777">
      <w:pPr>
        <w:pBdr/>
        <w:tabs>
          <w:tab w:val="left" w:leader="none" w:pos="3514"/>
        </w:tabs>
        <w:spacing/>
        <w:ind/>
        <w:jc w:val="both"/>
        <w:rPr>
          <w:rFonts w:ascii="Arial" w:hAnsi="Arial" w:cs="Arial"/>
        </w:rPr>
      </w:pPr>
      <w:r>
        <w:rPr>
          <w:rFonts w:ascii="Arial" w:hAnsi="Arial" w:eastAsia="SimSun" w:cs="Arial"/>
          <w:b/>
        </w:rPr>
        <w:t xml:space="preserve">23.4.</w:t>
      </w:r>
      <w:r>
        <w:rPr>
          <w:rFonts w:ascii="Arial" w:hAnsi="Arial" w:eastAsia="SimSun" w:cs="Arial"/>
        </w:rPr>
        <w:t xml:space="preserve"> Os (As) gestores e fiscais de contrato devem ser previamente designados (as), através de Portaria geral ou específica, preferencialmente por meio eletrônico, bem como os (as) titulares e substitutos.</w:t>
      </w:r>
      <w:r>
        <w:rPr>
          <w:rFonts w:ascii="Arial" w:hAnsi="Arial" w:cs="Arial"/>
        </w:rPr>
      </w:r>
    </w:p>
    <w:p w14:paraId="7880587A" w14:textId="77777777">
      <w:pPr>
        <w:pBdr/>
        <w:tabs>
          <w:tab w:val="left" w:leader="none" w:pos="3514"/>
        </w:tabs>
        <w:spacing/>
        <w:ind/>
        <w:jc w:val="both"/>
        <w:rPr>
          <w:rFonts w:ascii="Arial" w:hAnsi="Arial" w:eastAsia="SimSun" w:cs="Arial"/>
        </w:rPr>
      </w:pPr>
      <w:r>
        <w:rPr>
          <w:rFonts w:ascii="Arial" w:hAnsi="Arial" w:eastAsia="SimSun" w:cs="Arial"/>
        </w:rPr>
      </w:r>
      <w:r>
        <w:rPr>
          <w:rFonts w:ascii="Arial" w:hAnsi="Arial" w:eastAsia="SimSun" w:cs="Arial"/>
        </w:rPr>
      </w:r>
    </w:p>
    <w:p w14:paraId="6ECF3714" w14:textId="77777777">
      <w:pPr>
        <w:pBdr/>
        <w:tabs>
          <w:tab w:val="left" w:leader="none" w:pos="3514"/>
        </w:tabs>
        <w:spacing/>
        <w:ind/>
        <w:jc w:val="both"/>
        <w:rPr>
          <w:rFonts w:ascii="Arial" w:hAnsi="Arial" w:cs="Arial"/>
        </w:rPr>
      </w:pPr>
      <w:r>
        <w:rPr>
          <w:rFonts w:ascii="Arial" w:hAnsi="Arial" w:eastAsia="SimSun" w:cs="Arial"/>
          <w:b/>
        </w:rPr>
        <w:t xml:space="preserve">23.5.</w:t>
      </w:r>
      <w:r>
        <w:rPr>
          <w:rFonts w:ascii="Arial" w:hAnsi="Arial" w:eastAsia="SimSun" w:cs="Arial"/>
        </w:rPr>
        <w:t xml:space="preserve"> Não obstante a (s) Contratada (s) seja (m) a (s) única (s</w:t>
      </w:r>
      <w:r>
        <w:rPr>
          <w:rFonts w:ascii="Arial" w:hAnsi="Arial" w:eastAsia="SimSun" w:cs="Arial"/>
        </w:rPr>
        <w:t xml:space="preserve">) e exclusiva (s) responsável (is) pela execução do contrato, a Contratante reserva-se o direito de, sem que de qualquer forma restrinja a plenitude dessa responsabilidade, exercer a mais ampla e completa fiscalização sobre a execução do objeto contratado.</w:t>
      </w:r>
      <w:r>
        <w:rPr>
          <w:rFonts w:ascii="Arial" w:hAnsi="Arial" w:cs="Arial"/>
        </w:rPr>
      </w:r>
    </w:p>
    <w:p w14:paraId="1E80F6B9" w14:textId="77777777">
      <w:pPr>
        <w:pBdr/>
        <w:tabs>
          <w:tab w:val="left" w:leader="none" w:pos="3514"/>
        </w:tabs>
        <w:spacing/>
        <w:ind/>
        <w:jc w:val="both"/>
        <w:rPr>
          <w:rFonts w:ascii="Arial" w:hAnsi="Arial" w:eastAsia="SimSun" w:cs="Arial"/>
        </w:rPr>
      </w:pPr>
      <w:r>
        <w:rPr>
          <w:rFonts w:ascii="Arial" w:hAnsi="Arial" w:eastAsia="SimSun" w:cs="Arial"/>
        </w:rPr>
      </w:r>
      <w:r>
        <w:rPr>
          <w:rFonts w:ascii="Arial" w:hAnsi="Arial" w:eastAsia="SimSun" w:cs="Arial"/>
        </w:rPr>
      </w:r>
    </w:p>
    <w:p w14:paraId="5485E5CE" w14:textId="77777777">
      <w:pPr>
        <w:pBdr/>
        <w:tabs>
          <w:tab w:val="left" w:leader="none" w:pos="3514"/>
        </w:tabs>
        <w:spacing/>
        <w:ind/>
        <w:jc w:val="both"/>
        <w:rPr>
          <w:rFonts w:ascii="Arial" w:hAnsi="Arial" w:cs="Arial"/>
        </w:rPr>
      </w:pPr>
      <w:r>
        <w:rPr>
          <w:rFonts w:ascii="Arial" w:hAnsi="Arial" w:eastAsia="SimSun" w:cs="Arial"/>
          <w:b/>
        </w:rPr>
        <w:t xml:space="preserve">23.6.</w:t>
      </w:r>
      <w:r>
        <w:rPr>
          <w:rFonts w:ascii="Arial" w:hAnsi="Arial" w:eastAsia="SimSun" w:cs="Arial"/>
        </w:rPr>
        <w:t xml:space="preserve"> O (A) Fiscal do Contrato é o agente público </w:t>
      </w:r>
      <w:r>
        <w:rPr>
          <w:rFonts w:ascii="Arial" w:hAnsi="Arial" w:eastAsia="SimSun" w:cs="Arial"/>
        </w:rPr>
        <w:t xml:space="preserve">responsável por aplicar as ações estabelecidas sempre que for preciso e desempenhar com eficiência e zelo todas as atribuições a ele (ela) incumbidas na legislação aplicável, em especial aquelas indicadas na subseção V do Decreto Municipal n.º 11.685/2023.</w:t>
      </w:r>
      <w:r>
        <w:rPr>
          <w:rFonts w:ascii="Arial" w:hAnsi="Arial" w:cs="Arial"/>
        </w:rPr>
      </w:r>
    </w:p>
    <w:p w14:paraId="2FCDFE6E" w14:textId="77777777">
      <w:pPr>
        <w:pBdr/>
        <w:tabs>
          <w:tab w:val="left" w:leader="none" w:pos="3514"/>
        </w:tabs>
        <w:spacing/>
        <w:ind/>
        <w:jc w:val="both"/>
        <w:rPr>
          <w:rFonts w:ascii="Arial" w:hAnsi="Arial" w:eastAsia="SimSun" w:cs="Arial"/>
        </w:rPr>
      </w:pPr>
      <w:r>
        <w:rPr>
          <w:rFonts w:ascii="Arial" w:hAnsi="Arial" w:eastAsia="SimSun" w:cs="Arial"/>
        </w:rPr>
      </w:r>
      <w:r>
        <w:rPr>
          <w:rFonts w:ascii="Arial" w:hAnsi="Arial" w:eastAsia="SimSun" w:cs="Arial"/>
        </w:rPr>
      </w:r>
    </w:p>
    <w:p w14:paraId="0CA69FB3" w14:textId="77777777">
      <w:pPr>
        <w:pBdr/>
        <w:tabs>
          <w:tab w:val="left" w:leader="none" w:pos="3514"/>
        </w:tabs>
        <w:spacing/>
        <w:ind/>
        <w:jc w:val="both"/>
        <w:rPr>
          <w:rFonts w:ascii="Arial" w:hAnsi="Arial" w:cs="Arial"/>
        </w:rPr>
      </w:pPr>
      <w:r>
        <w:rPr>
          <w:rFonts w:ascii="Arial" w:hAnsi="Arial" w:eastAsia="SimSun" w:cs="Arial"/>
          <w:b/>
        </w:rPr>
        <w:t xml:space="preserve">23.7.</w:t>
      </w:r>
      <w:r>
        <w:rPr>
          <w:rFonts w:ascii="Arial" w:hAnsi="Arial" w:eastAsia="SimSun" w:cs="Arial"/>
        </w:rPr>
        <w:t xml:space="preserve"> Conforme o artigo 7º da Lei nº 14.133/2021 e o artigo 8º do Decreto nº 11.246/2022, devendo a Administração Pública instruir os autos com as publicações dos atos de designação dos agentes públicos para o exercício dessas funções.</w:t>
      </w:r>
      <w:r>
        <w:rPr>
          <w:rFonts w:ascii="Arial" w:hAnsi="Arial" w:cs="Arial"/>
        </w:rPr>
      </w:r>
    </w:p>
    <w:p w14:paraId="6F49526B" w14:textId="77777777">
      <w:pPr>
        <w:pBdr/>
        <w:tabs>
          <w:tab w:val="left" w:leader="none" w:pos="3514"/>
        </w:tabs>
        <w:spacing/>
        <w:ind/>
        <w:jc w:val="both"/>
        <w:rPr>
          <w:rFonts w:ascii="Arial" w:hAnsi="Arial" w:eastAsia="SimSun" w:cs="Arial"/>
        </w:rPr>
      </w:pPr>
      <w:r>
        <w:rPr>
          <w:rFonts w:ascii="Arial" w:hAnsi="Arial" w:eastAsia="SimSun" w:cs="Arial"/>
        </w:rPr>
      </w:r>
      <w:r>
        <w:rPr>
          <w:rFonts w:ascii="Arial" w:hAnsi="Arial" w:eastAsia="SimSun" w:cs="Arial"/>
        </w:rPr>
      </w:r>
    </w:p>
    <w:p w14:paraId="6AEBBC25" w14:textId="77777777">
      <w:pPr>
        <w:pBdr/>
        <w:tabs>
          <w:tab w:val="left" w:leader="none" w:pos="3514"/>
        </w:tabs>
        <w:spacing/>
        <w:ind/>
        <w:jc w:val="both"/>
        <w:rPr>
          <w:rFonts w:ascii="Arial" w:hAnsi="Arial" w:eastAsia="SimSun" w:cs="Arial"/>
        </w:rPr>
      </w:pPr>
      <w:r>
        <w:rPr>
          <w:rFonts w:ascii="Arial" w:hAnsi="Arial" w:eastAsia="SimSun" w:cs="Arial"/>
          <w:b/>
        </w:rPr>
        <w:t xml:space="preserve">23.8.</w:t>
      </w:r>
      <w:r>
        <w:rPr>
          <w:rFonts w:ascii="Arial" w:hAnsi="Arial" w:eastAsia="SimSun" w:cs="Arial"/>
        </w:rPr>
        <w:t xml:space="preserve"> O (A) fiscal do contrato informará a seus superiores, em tempo hábil para a adoção das medidas convenientes, a situação que demandar decisão ou providência que ultrapasse sua competência.</w:t>
      </w:r>
      <w:r>
        <w:rPr>
          <w:rFonts w:ascii="Arial" w:hAnsi="Arial" w:eastAsia="SimSun" w:cs="Arial"/>
        </w:rPr>
      </w:r>
    </w:p>
    <w:p w14:paraId="709DB938" w14:textId="77777777">
      <w:pPr>
        <w:pStyle w:val="882"/>
        <w:pBdr/>
        <w:spacing/>
        <w:ind/>
        <w:rPr>
          <w:sz w:val="20"/>
          <w:szCs w:val="20"/>
          <w:lang w:val="pt-BR"/>
        </w:rPr>
      </w:pPr>
      <w:r>
        <w:rPr>
          <w:rFonts w:eastAsia="SimSun"/>
          <w:sz w:val="20"/>
          <w:szCs w:val="20"/>
          <w:lang w:val="pt-BR"/>
        </w:rPr>
        <w:t xml:space="preserve">24. CRITÉRIOS DE MEDIÇÃO E DE PAGAMENTO:</w:t>
      </w:r>
      <w:bookmarkEnd w:id="36"/>
      <w:r>
        <w:rPr>
          <w:rFonts w:eastAsia="SimSun"/>
          <w:sz w:val="20"/>
          <w:szCs w:val="20"/>
          <w:lang w:val="pt-BR"/>
        </w:rPr>
        <w:t xml:space="preserve"> </w:t>
      </w:r>
      <w:r>
        <w:rPr>
          <w:sz w:val="20"/>
          <w:szCs w:val="20"/>
          <w:lang w:val="pt-BR"/>
        </w:rPr>
      </w:r>
    </w:p>
    <w:p w14:paraId="6DD79B31" w14:textId="77777777">
      <w:pPr>
        <w:pBdr/>
        <w:spacing/>
        <w:ind/>
        <w:jc w:val="both"/>
        <w:rPr>
          <w:rFonts w:ascii="Arial" w:hAnsi="Arial" w:eastAsia="SimSun" w:cs="Arial"/>
        </w:rPr>
      </w:pPr>
      <w:r>
        <w:rPr>
          <w:rFonts w:ascii="Arial" w:hAnsi="Arial" w:eastAsia="SimSun" w:cs="Arial"/>
        </w:rPr>
      </w:r>
      <w:r>
        <w:rPr>
          <w:rFonts w:ascii="Arial" w:hAnsi="Arial" w:eastAsia="SimSun" w:cs="Arial"/>
        </w:rPr>
      </w:r>
    </w:p>
    <w:p w14:paraId="03699EC4" w14:textId="77777777">
      <w:pPr>
        <w:pBdr/>
        <w:spacing/>
        <w:ind/>
        <w:jc w:val="both"/>
        <w:rPr>
          <w:rFonts w:ascii="Arial" w:hAnsi="Arial" w:cs="Arial"/>
          <w:b/>
        </w:rPr>
      </w:pPr>
      <w:r>
        <w:rPr>
          <w:rFonts w:ascii="Arial" w:hAnsi="Arial" w:cs="Arial"/>
          <w:b/>
        </w:rPr>
        <w:t xml:space="preserve">24.1. </w:t>
      </w:r>
      <w:r>
        <w:rPr>
          <w:rFonts w:ascii="Arial" w:hAnsi="Arial" w:cs="Arial"/>
        </w:rPr>
        <w:t xml:space="preserve">O recebimento do insumo se dará pelo responsável por seu acompanhamento e fiscalização (artigo 140, Inciso II, alínea “a” da Lei n.º 14.133/2021), no ato da entrega dos bens, medi</w:t>
      </w:r>
      <w:r>
        <w:rPr>
          <w:rFonts w:ascii="Arial" w:hAnsi="Arial" w:cs="Arial"/>
        </w:rPr>
        <w:t xml:space="preserve">ante Relatório, contendo o registro, a análise e a conclusão acerca das ocorrências na execução do contrato. Deverão, também, serem anexados os demais documentos que o responsável julgar necessário e, encontrando irregularidade, fixará prazo para correção.</w:t>
      </w:r>
      <w:r>
        <w:rPr>
          <w:rFonts w:ascii="Arial" w:hAnsi="Arial" w:cs="Arial"/>
          <w:b/>
        </w:rPr>
      </w:r>
    </w:p>
    <w:p w14:paraId="05FC7157" w14:textId="77777777">
      <w:pPr>
        <w:pBdr/>
        <w:spacing/>
        <w:ind/>
        <w:jc w:val="both"/>
        <w:rPr>
          <w:rFonts w:ascii="Arial" w:hAnsi="Arial" w:cs="Arial"/>
          <w:b/>
        </w:rPr>
      </w:pPr>
      <w:r>
        <w:rPr>
          <w:rFonts w:ascii="Arial" w:hAnsi="Arial" w:cs="Arial"/>
          <w:b/>
        </w:rPr>
      </w:r>
      <w:r>
        <w:rPr>
          <w:rFonts w:ascii="Arial" w:hAnsi="Arial" w:cs="Arial"/>
          <w:b/>
        </w:rPr>
      </w:r>
    </w:p>
    <w:p w14:paraId="4094C98F" w14:textId="77777777">
      <w:pPr>
        <w:pBdr/>
        <w:spacing/>
        <w:ind/>
        <w:jc w:val="both"/>
        <w:rPr>
          <w:rFonts w:ascii="Arial" w:hAnsi="Arial" w:cs="Arial"/>
          <w:b/>
        </w:rPr>
      </w:pPr>
      <w:r>
        <w:rPr>
          <w:rFonts w:ascii="Arial" w:hAnsi="Arial" w:cs="Arial"/>
          <w:b/>
        </w:rPr>
        <w:t xml:space="preserve">24.1.2. </w:t>
      </w:r>
      <w:r>
        <w:rPr>
          <w:rFonts w:ascii="Arial" w:hAnsi="Arial" w:cs="Arial"/>
        </w:rPr>
        <w:t xml:space="preserve">A fiscalização notificará o contratado para se for o caso, no prazo de até 05 (cinco) dias úteis, impugnar os apontamentos do Relatório ou emitir a Nota Fiscal/Fatura no valor apurado.</w:t>
      </w:r>
      <w:r>
        <w:rPr>
          <w:rFonts w:ascii="Arial" w:hAnsi="Arial" w:cs="Arial"/>
          <w:b/>
        </w:rPr>
      </w:r>
    </w:p>
    <w:p w14:paraId="27053A35" w14:textId="77777777">
      <w:pPr>
        <w:pBdr/>
        <w:spacing/>
        <w:ind/>
        <w:jc w:val="both"/>
        <w:rPr>
          <w:rFonts w:ascii="Arial" w:hAnsi="Arial" w:cs="Arial"/>
          <w:b/>
        </w:rPr>
      </w:pPr>
      <w:r>
        <w:rPr>
          <w:rFonts w:ascii="Arial" w:hAnsi="Arial" w:cs="Arial"/>
          <w:b/>
        </w:rPr>
      </w:r>
      <w:r>
        <w:rPr>
          <w:rFonts w:ascii="Arial" w:hAnsi="Arial" w:cs="Arial"/>
          <w:b/>
        </w:rPr>
      </w:r>
    </w:p>
    <w:p w14:paraId="0E96D321" w14:textId="77777777">
      <w:pPr>
        <w:pBdr/>
        <w:spacing/>
        <w:ind/>
        <w:jc w:val="both"/>
        <w:rPr>
          <w:rFonts w:ascii="Arial" w:hAnsi="Arial" w:cs="Arial"/>
          <w:b/>
        </w:rPr>
      </w:pPr>
      <w:r>
        <w:rPr>
          <w:rFonts w:ascii="Arial" w:hAnsi="Arial" w:cs="Arial"/>
          <w:b/>
        </w:rPr>
        <w:t xml:space="preserve">24.1.3. </w:t>
      </w:r>
      <w:r>
        <w:rPr>
          <w:rFonts w:ascii="Arial" w:hAnsi="Arial" w:cs="Arial"/>
        </w:rPr>
        <w:t xml:space="preserve">Realizar a análise dos r</w:t>
      </w:r>
      <w:r>
        <w:rPr>
          <w:rFonts w:ascii="Arial" w:hAnsi="Arial" w:cs="Arial"/>
        </w:rPr>
        <w:t xml:space="preserve">elatórios e de toda a documentação apresentada pela fiscalização e, caso haja irregularidades que impeçam a liquidação e o pagamento da despesa, indicar as cláusulas contratuais pertinentes, solicitando ao contratado, por escrito, as respectivas correções;</w:t>
      </w:r>
      <w:r>
        <w:rPr>
          <w:rFonts w:ascii="Arial" w:hAnsi="Arial" w:cs="Arial"/>
          <w:b/>
        </w:rPr>
      </w:r>
    </w:p>
    <w:p w14:paraId="4B2E6497" w14:textId="77777777">
      <w:pPr>
        <w:pBdr/>
        <w:spacing/>
        <w:ind/>
        <w:jc w:val="both"/>
        <w:rPr>
          <w:rFonts w:ascii="Arial" w:hAnsi="Arial" w:cs="Arial"/>
          <w:b/>
        </w:rPr>
      </w:pPr>
      <w:r>
        <w:rPr>
          <w:rFonts w:ascii="Arial" w:hAnsi="Arial" w:cs="Arial"/>
          <w:b/>
        </w:rPr>
      </w:r>
      <w:r>
        <w:rPr>
          <w:rFonts w:ascii="Arial" w:hAnsi="Arial" w:cs="Arial"/>
          <w:b/>
        </w:rPr>
      </w:r>
    </w:p>
    <w:p w14:paraId="4DD5D942" w14:textId="77777777">
      <w:pPr>
        <w:pBdr/>
        <w:spacing/>
        <w:ind/>
        <w:jc w:val="both"/>
        <w:rPr>
          <w:rFonts w:ascii="Arial" w:hAnsi="Arial" w:cs="Arial"/>
          <w:b/>
        </w:rPr>
      </w:pPr>
      <w:r>
        <w:rPr>
          <w:rFonts w:ascii="Arial" w:hAnsi="Arial" w:cs="Arial"/>
          <w:b/>
        </w:rPr>
        <w:t xml:space="preserve">24.1.4. </w:t>
      </w:r>
      <w:r>
        <w:rPr>
          <w:rFonts w:ascii="Arial" w:hAnsi="Arial" w:cs="Arial"/>
        </w:rPr>
        <w:t xml:space="preserve">Realizar a aposição de assinatura nas vias do Documento Auxiliar da NF-e (Danfe) ou na Nota Fiscal, emitida pelo contratado para os bens fornecidos.</w:t>
      </w:r>
      <w:r>
        <w:rPr>
          <w:rFonts w:ascii="Arial" w:hAnsi="Arial" w:cs="Arial"/>
          <w:b/>
        </w:rPr>
      </w:r>
    </w:p>
    <w:p w14:paraId="1FFCA21A" w14:textId="77777777">
      <w:pPr>
        <w:pBdr/>
        <w:spacing/>
        <w:ind/>
        <w:jc w:val="both"/>
        <w:rPr>
          <w:rFonts w:ascii="Arial" w:hAnsi="Arial" w:cs="Arial"/>
          <w:b/>
        </w:rPr>
      </w:pPr>
      <w:r>
        <w:rPr>
          <w:rFonts w:ascii="Arial" w:hAnsi="Arial" w:cs="Arial"/>
          <w:b/>
        </w:rPr>
      </w:r>
      <w:r>
        <w:rPr>
          <w:rFonts w:ascii="Arial" w:hAnsi="Arial" w:cs="Arial"/>
          <w:b/>
        </w:rPr>
      </w:r>
    </w:p>
    <w:p w14:paraId="39E39337" w14:textId="77777777">
      <w:pPr>
        <w:pBdr/>
        <w:spacing/>
        <w:ind/>
        <w:jc w:val="both"/>
        <w:rPr>
          <w:rFonts w:ascii="Arial" w:hAnsi="Arial" w:cs="Arial"/>
          <w:u w:val="single"/>
        </w:rPr>
      </w:pPr>
      <w:r>
        <w:rPr>
          <w:rFonts w:ascii="Arial" w:hAnsi="Arial" w:cs="Arial"/>
          <w:b/>
          <w:u w:val="single"/>
        </w:rPr>
        <w:t xml:space="preserve">24.1.5. </w:t>
      </w:r>
      <w:r>
        <w:rPr>
          <w:rFonts w:ascii="Arial" w:hAnsi="Arial" w:cs="Arial"/>
          <w:u w:val="single"/>
        </w:rPr>
        <w:t xml:space="preserve">A medição dos serviços de translado funerário e tanatopraxia será realizada com base nas Ordens de Serviço efetivamente atendidas pela CONTRATADA. A execução ocorrerá conforme a demanda emergencial da Secretaria Municipal de Promoção e Assistência Social, </w:t>
      </w:r>
      <w:r>
        <w:rPr>
          <w:rFonts w:ascii="Arial" w:hAnsi="Arial" w:cs="Arial"/>
          <w:u w:val="single"/>
        </w:rPr>
        <w:t xml:space="preserve">sendo a medição e o pagamento condicionados à verificação da regular execução dos serviços, incluindo a quilometragem efetivamente percorrida no translado e a realização adequada dos procedimentos técnicos de tanatopraxia, devidamente atestados pelo Fiscal</w:t>
      </w:r>
      <w:r>
        <w:rPr>
          <w:rFonts w:ascii="Arial" w:hAnsi="Arial" w:cs="Arial"/>
          <w:u w:val="single"/>
        </w:rPr>
        <w:t xml:space="preserve"> do Contrato. </w:t>
      </w:r>
      <w:r>
        <w:rPr>
          <w:rFonts w:ascii="Arial" w:hAnsi="Arial" w:cs="Arial"/>
          <w:u w:val="single"/>
        </w:rPr>
      </w:r>
    </w:p>
    <w:p w14:paraId="6A9381AA" w14:textId="77777777">
      <w:pPr>
        <w:pBdr/>
        <w:spacing/>
        <w:ind/>
        <w:jc w:val="both"/>
        <w:rPr>
          <w:rFonts w:ascii="Arial" w:hAnsi="Arial" w:cs="Arial"/>
          <w:b/>
        </w:rPr>
      </w:pPr>
      <w:r>
        <w:rPr>
          <w:rFonts w:ascii="Arial" w:hAnsi="Arial" w:cs="Arial"/>
          <w:b/>
        </w:rPr>
      </w:r>
      <w:r>
        <w:rPr>
          <w:rFonts w:ascii="Arial" w:hAnsi="Arial" w:cs="Arial"/>
          <w:b/>
        </w:rPr>
      </w:r>
    </w:p>
    <w:p w14:paraId="37E24B0C" w14:textId="77777777">
      <w:pPr>
        <w:pBdr/>
        <w:spacing/>
        <w:ind/>
        <w:jc w:val="both"/>
        <w:rPr>
          <w:rFonts w:ascii="Arial" w:hAnsi="Arial" w:cs="Arial"/>
        </w:rPr>
      </w:pPr>
      <w:r>
        <w:rPr>
          <w:rFonts w:ascii="Arial" w:hAnsi="Arial" w:cs="Arial"/>
          <w:b/>
        </w:rPr>
        <w:t xml:space="preserve">24.2. </w:t>
      </w:r>
      <w:r>
        <w:rPr>
          <w:rFonts w:ascii="Arial" w:hAnsi="Arial" w:cs="Arial"/>
        </w:rPr>
        <w:t xml:space="preserve">Pelo fiel e perfeito fornecimento do objeto des</w:t>
      </w:r>
      <w:r>
        <w:rPr>
          <w:rFonts w:ascii="Arial" w:hAnsi="Arial" w:cs="Arial"/>
        </w:rPr>
        <w:t xml:space="preserve">ta licitação, o município de Rondonópolis-MT, pagará o valor total, em Reais (R$), à Contratada, mediante a entrega da Nota Fiscal, devidamente atestada pela Secretaria solicitante, que corresponderá ao valor do objeto licitado entregue, após verificação; </w:t>
      </w:r>
      <w:r>
        <w:rPr>
          <w:rFonts w:ascii="Arial" w:hAnsi="Arial" w:cs="Arial"/>
        </w:rPr>
      </w:r>
    </w:p>
    <w:p w14:paraId="7F65E199" w14:textId="77777777">
      <w:pPr>
        <w:pBdr/>
        <w:spacing/>
        <w:ind/>
        <w:jc w:val="both"/>
        <w:rPr>
          <w:rFonts w:ascii="Arial" w:hAnsi="Arial" w:cs="Arial"/>
        </w:rPr>
      </w:pPr>
      <w:r>
        <w:rPr>
          <w:rFonts w:ascii="Arial" w:hAnsi="Arial" w:cs="Arial"/>
        </w:rPr>
      </w:r>
      <w:r>
        <w:rPr>
          <w:rFonts w:ascii="Arial" w:hAnsi="Arial" w:cs="Arial"/>
        </w:rPr>
      </w:r>
    </w:p>
    <w:p w14:paraId="028CAD69" w14:textId="77777777">
      <w:pPr>
        <w:pBdr/>
        <w:spacing/>
        <w:ind/>
        <w:jc w:val="both"/>
        <w:rPr>
          <w:rFonts w:ascii="Arial" w:hAnsi="Arial" w:cs="Arial"/>
        </w:rPr>
      </w:pPr>
      <w:r>
        <w:rPr>
          <w:rFonts w:ascii="Arial" w:hAnsi="Arial" w:cs="Arial"/>
          <w:b/>
        </w:rPr>
        <w:t xml:space="preserve">24.3.</w:t>
      </w:r>
      <w:r>
        <w:rPr>
          <w:rFonts w:ascii="Arial" w:hAnsi="Arial" w:cs="Arial"/>
        </w:rPr>
        <w:t xml:space="preserve"> No preço a ser pago deverão estar inc</w:t>
      </w:r>
      <w:r>
        <w:rPr>
          <w:rFonts w:ascii="Arial" w:hAnsi="Arial" w:cs="Arial"/>
        </w:rPr>
        <w:t xml:space="preserve">lusas todas as despesas inerentes a: salários, encargos sociais, tributários, trabalhistas, comerciais (inclusive frete), materiais, enfim todas as despesas necessárias ao fornecimento do objeto deste Pregão a ser entregue no município de Rondonópolis-MT; </w:t>
      </w:r>
      <w:r>
        <w:rPr>
          <w:rFonts w:ascii="Arial" w:hAnsi="Arial" w:cs="Arial"/>
        </w:rPr>
      </w:r>
    </w:p>
    <w:p w14:paraId="69E54E50" w14:textId="77777777">
      <w:pPr>
        <w:pBdr/>
        <w:spacing/>
        <w:ind/>
        <w:jc w:val="both"/>
        <w:rPr>
          <w:rFonts w:ascii="Arial" w:hAnsi="Arial" w:cs="Arial"/>
        </w:rPr>
      </w:pPr>
      <w:r>
        <w:rPr>
          <w:rFonts w:ascii="Arial" w:hAnsi="Arial" w:cs="Arial"/>
        </w:rPr>
      </w:r>
      <w:r>
        <w:rPr>
          <w:rFonts w:ascii="Arial" w:hAnsi="Arial" w:cs="Arial"/>
        </w:rPr>
      </w:r>
    </w:p>
    <w:p w14:paraId="1CFA439C" w14:textId="77777777">
      <w:pPr>
        <w:pBdr/>
        <w:spacing/>
        <w:ind/>
        <w:jc w:val="both"/>
        <w:rPr>
          <w:rFonts w:ascii="Arial" w:hAnsi="Arial" w:cs="Arial"/>
        </w:rPr>
      </w:pPr>
      <w:r>
        <w:rPr>
          <w:rFonts w:ascii="Arial" w:hAnsi="Arial" w:cs="Arial"/>
          <w:b/>
        </w:rPr>
        <w:t xml:space="preserve">24.4.</w:t>
      </w:r>
      <w:r>
        <w:rPr>
          <w:rFonts w:ascii="Arial" w:hAnsi="Arial" w:cs="Arial"/>
        </w:rPr>
        <w:t xml:space="preserve"> O pagamento será realizado conforme termo de referência/contrato, devendo ainda atender aos termos do art. 60 da Lei federal n.º 4.320, de 17/03/1964, em até 30 (trinta) dias após entrega e atesto de recebimento definitivo do objeto licitado, mediante apr</w:t>
      </w:r>
      <w:r>
        <w:rPr>
          <w:rFonts w:ascii="Arial" w:hAnsi="Arial" w:cs="Arial"/>
        </w:rPr>
        <w:t xml:space="preserve">esentação da Nota Fiscal, atestada pelo servidor responsável da CONTRATANTE , devidamente acompanhada dos documentos estabelecidos na Legislação Vigente ou o que venha a substituí-los, através de boleto ou transferência bancaria em conta jurídica da empres</w:t>
      </w:r>
      <w:r>
        <w:rPr>
          <w:rFonts w:ascii="Arial" w:hAnsi="Arial" w:cs="Arial"/>
        </w:rPr>
        <w:t xml:space="preserve">a contratada. </w:t>
      </w:r>
      <w:r>
        <w:rPr>
          <w:rFonts w:ascii="Arial" w:hAnsi="Arial" w:cs="Arial"/>
        </w:rPr>
      </w:r>
    </w:p>
    <w:p w14:paraId="48007B68" w14:textId="77777777">
      <w:pPr>
        <w:pBdr/>
        <w:spacing/>
        <w:ind/>
        <w:jc w:val="both"/>
        <w:rPr>
          <w:rFonts w:ascii="Arial" w:hAnsi="Arial" w:cs="Arial"/>
        </w:rPr>
      </w:pPr>
      <w:r>
        <w:rPr>
          <w:rFonts w:ascii="Arial" w:hAnsi="Arial" w:cs="Arial"/>
        </w:rPr>
      </w:r>
      <w:r>
        <w:rPr>
          <w:rFonts w:ascii="Arial" w:hAnsi="Arial" w:cs="Arial"/>
        </w:rPr>
      </w:r>
    </w:p>
    <w:p w14:paraId="558B2669" w14:textId="77777777">
      <w:pPr>
        <w:pBdr/>
        <w:spacing/>
        <w:ind/>
        <w:jc w:val="both"/>
        <w:rPr>
          <w:rFonts w:ascii="Arial" w:hAnsi="Arial" w:cs="Arial"/>
        </w:rPr>
      </w:pPr>
      <w:r>
        <w:rPr>
          <w:rFonts w:ascii="Arial" w:hAnsi="Arial" w:cs="Arial"/>
          <w:b/>
        </w:rPr>
        <w:t xml:space="preserve">24.5.</w:t>
      </w:r>
      <w:r>
        <w:rPr>
          <w:rFonts w:ascii="Arial" w:hAnsi="Arial" w:cs="Arial"/>
        </w:rPr>
        <w:t xml:space="preserve"> A nota fiscal deverá conter atestados firmados pelo servidor encarregado de fiscalizar o recebimento, comprovando a entrega do objeto contratado; </w:t>
      </w:r>
      <w:r>
        <w:rPr>
          <w:rFonts w:ascii="Arial" w:hAnsi="Arial" w:cs="Arial"/>
        </w:rPr>
      </w:r>
    </w:p>
    <w:p w14:paraId="564D7DFC" w14:textId="77777777">
      <w:pPr>
        <w:pBdr/>
        <w:spacing/>
        <w:ind/>
        <w:jc w:val="both"/>
        <w:rPr>
          <w:rFonts w:ascii="Arial" w:hAnsi="Arial" w:cs="Arial"/>
        </w:rPr>
      </w:pPr>
      <w:r>
        <w:rPr>
          <w:rFonts w:ascii="Arial" w:hAnsi="Arial" w:cs="Arial"/>
        </w:rPr>
      </w:r>
      <w:r>
        <w:rPr>
          <w:rFonts w:ascii="Arial" w:hAnsi="Arial" w:cs="Arial"/>
        </w:rPr>
      </w:r>
    </w:p>
    <w:p w14:paraId="75E6FF57" w14:textId="77777777">
      <w:pPr>
        <w:pBdr/>
        <w:spacing/>
        <w:ind/>
        <w:jc w:val="both"/>
        <w:rPr>
          <w:rFonts w:ascii="Arial" w:hAnsi="Arial" w:cs="Arial"/>
        </w:rPr>
      </w:pPr>
      <w:r>
        <w:rPr>
          <w:rFonts w:ascii="Arial" w:hAnsi="Arial" w:cs="Arial"/>
          <w:b/>
        </w:rPr>
        <w:t xml:space="preserve">24.6.</w:t>
      </w:r>
      <w:r>
        <w:rPr>
          <w:rFonts w:ascii="Arial" w:hAnsi="Arial" w:cs="Arial"/>
        </w:rPr>
        <w:t xml:space="preserve"> A contratada deverá indicar no corpo da nota fiscal, n. do contrato, mês de referência, descrição dos produtos, o número e nome do banco, agência e número da conta, na qual deverá ser feito o pagamento, via ordem bancária; </w:t>
      </w:r>
      <w:r>
        <w:rPr>
          <w:rFonts w:ascii="Arial" w:hAnsi="Arial" w:cs="Arial"/>
        </w:rPr>
      </w:r>
    </w:p>
    <w:p w14:paraId="39DEA1CB" w14:textId="77777777">
      <w:pPr>
        <w:pBdr/>
        <w:spacing/>
        <w:ind/>
        <w:jc w:val="both"/>
        <w:rPr>
          <w:rFonts w:ascii="Arial" w:hAnsi="Arial" w:cs="Arial"/>
          <w:b/>
        </w:rPr>
      </w:pPr>
      <w:r>
        <w:rPr>
          <w:rFonts w:ascii="Arial" w:hAnsi="Arial" w:cs="Arial"/>
          <w:b/>
        </w:rPr>
      </w:r>
      <w:r>
        <w:rPr>
          <w:rFonts w:ascii="Arial" w:hAnsi="Arial" w:cs="Arial"/>
          <w:b/>
        </w:rPr>
      </w:r>
    </w:p>
    <w:p w14:paraId="2CF1C5E2" w14:textId="77777777">
      <w:pPr>
        <w:pBdr/>
        <w:spacing/>
        <w:ind/>
        <w:jc w:val="both"/>
        <w:rPr>
          <w:rFonts w:ascii="Arial" w:hAnsi="Arial" w:cs="Arial"/>
          <w:u w:val="single"/>
        </w:rPr>
      </w:pPr>
      <w:r>
        <w:rPr>
          <w:rFonts w:ascii="Arial" w:hAnsi="Arial" w:cs="Arial"/>
          <w:b/>
          <w:u w:val="single"/>
        </w:rPr>
        <w:t xml:space="preserve">24.7. </w:t>
      </w:r>
      <w:r>
        <w:rPr>
          <w:rFonts w:ascii="Arial" w:hAnsi="Arial" w:cs="Arial"/>
          <w:u w:val="single"/>
        </w:rPr>
        <w:t xml:space="preserve">O prazo para liquidação será de 15 (quinze) dias úteis.</w:t>
      </w:r>
      <w:r>
        <w:rPr>
          <w:rFonts w:ascii="Arial" w:hAnsi="Arial" w:cs="Arial"/>
          <w:u w:val="single"/>
        </w:rPr>
      </w:r>
    </w:p>
    <w:p w14:paraId="52414079" w14:textId="77777777">
      <w:pPr>
        <w:pBdr/>
        <w:spacing/>
        <w:ind/>
        <w:jc w:val="both"/>
        <w:rPr>
          <w:rFonts w:ascii="Arial" w:hAnsi="Arial" w:cs="Arial"/>
          <w:b/>
          <w:u w:val="single"/>
        </w:rPr>
      </w:pPr>
      <w:r>
        <w:rPr>
          <w:rFonts w:ascii="Arial" w:hAnsi="Arial" w:cs="Arial"/>
          <w:b/>
          <w:u w:val="single"/>
        </w:rPr>
      </w:r>
      <w:r>
        <w:rPr>
          <w:rFonts w:ascii="Arial" w:hAnsi="Arial" w:cs="Arial"/>
          <w:b/>
          <w:u w:val="single"/>
        </w:rPr>
      </w:r>
    </w:p>
    <w:p w14:paraId="2C5345D7" w14:textId="77777777">
      <w:pPr>
        <w:pBdr/>
        <w:spacing/>
        <w:ind/>
        <w:jc w:val="both"/>
        <w:rPr>
          <w:rFonts w:ascii="Arial" w:hAnsi="Arial" w:cs="Arial"/>
        </w:rPr>
      </w:pPr>
      <w:r>
        <w:rPr>
          <w:rFonts w:ascii="Arial" w:hAnsi="Arial" w:cs="Arial"/>
          <w:b/>
        </w:rPr>
        <w:t xml:space="preserve">24.8.</w:t>
      </w:r>
      <w:r>
        <w:rPr>
          <w:rFonts w:ascii="Arial" w:hAnsi="Arial" w:cs="Arial"/>
        </w:rPr>
        <w:t xml:space="preserve"> O Município de Rondonópolis efetuará o pagamento por meio de ordem bancária, tomada junto ao Banco ou Cooperativa, endereçada ao banco discriminado na nota fiscal; </w:t>
      </w:r>
      <w:r>
        <w:rPr>
          <w:rFonts w:ascii="Arial" w:hAnsi="Arial" w:cs="Arial"/>
        </w:rPr>
      </w:r>
    </w:p>
    <w:p w14:paraId="11AB0174" w14:textId="77777777">
      <w:pPr>
        <w:pBdr/>
        <w:spacing/>
        <w:ind/>
        <w:jc w:val="both"/>
        <w:rPr>
          <w:rFonts w:ascii="Arial" w:hAnsi="Arial" w:cs="Arial"/>
        </w:rPr>
      </w:pPr>
      <w:r>
        <w:rPr>
          <w:rFonts w:ascii="Arial" w:hAnsi="Arial" w:cs="Arial"/>
        </w:rPr>
      </w:r>
      <w:r>
        <w:rPr>
          <w:rFonts w:ascii="Arial" w:hAnsi="Arial" w:cs="Arial"/>
        </w:rPr>
      </w:r>
    </w:p>
    <w:p w14:paraId="68638964" w14:textId="77777777">
      <w:pPr>
        <w:pBdr/>
        <w:spacing/>
        <w:ind/>
        <w:jc w:val="both"/>
        <w:rPr>
          <w:rFonts w:ascii="Arial" w:hAnsi="Arial" w:cs="Arial"/>
        </w:rPr>
      </w:pPr>
      <w:r>
        <w:rPr>
          <w:rFonts w:ascii="Arial" w:hAnsi="Arial" w:cs="Arial"/>
          <w:b/>
        </w:rPr>
        <w:t xml:space="preserve">24.9.</w:t>
      </w:r>
      <w:r>
        <w:rPr>
          <w:rFonts w:ascii="Arial" w:hAnsi="Arial" w:cs="Arial"/>
        </w:rPr>
        <w:t xml:space="preserve"> Constando qualquer incorreção na nota fiscal, bem como, outra circunstância que desaconselhe o seu pagamento, o prazo para pagamento constante no item 24.3. Fluirá a partir da respectiva regularização; </w:t>
      </w:r>
      <w:r>
        <w:rPr>
          <w:rFonts w:ascii="Arial" w:hAnsi="Arial" w:cs="Arial"/>
        </w:rPr>
      </w:r>
    </w:p>
    <w:p w14:paraId="4D9AC1C1" w14:textId="77777777">
      <w:pPr>
        <w:pBdr/>
        <w:spacing/>
        <w:ind/>
        <w:jc w:val="both"/>
        <w:rPr>
          <w:rFonts w:ascii="Arial" w:hAnsi="Arial" w:cs="Arial"/>
          <w:b/>
        </w:rPr>
      </w:pPr>
      <w:r>
        <w:rPr>
          <w:rFonts w:ascii="Arial" w:hAnsi="Arial" w:cs="Arial"/>
          <w:b/>
        </w:rPr>
      </w:r>
      <w:r>
        <w:rPr>
          <w:rFonts w:ascii="Arial" w:hAnsi="Arial" w:cs="Arial"/>
          <w:b/>
        </w:rPr>
      </w:r>
    </w:p>
    <w:p w14:paraId="4507EFB1" w14:textId="77777777">
      <w:pPr>
        <w:pBdr/>
        <w:spacing/>
        <w:ind/>
        <w:jc w:val="both"/>
        <w:rPr>
          <w:rFonts w:ascii="Arial" w:hAnsi="Arial" w:cs="Arial"/>
        </w:rPr>
      </w:pPr>
      <w:r>
        <w:rPr>
          <w:rFonts w:ascii="Arial" w:hAnsi="Arial" w:cs="Arial"/>
          <w:b/>
        </w:rPr>
        <w:t xml:space="preserve">24.10.</w:t>
      </w:r>
      <w:r>
        <w:rPr>
          <w:rFonts w:ascii="Arial" w:hAnsi="Arial" w:cs="Arial"/>
        </w:rPr>
        <w:t xml:space="preserve"> As despesas bancárias decorrentes de transferências de valores para outras praças serão de responsabilidade da contratada; </w:t>
      </w:r>
      <w:r>
        <w:rPr>
          <w:rFonts w:ascii="Arial" w:hAnsi="Arial" w:cs="Arial"/>
        </w:rPr>
      </w:r>
    </w:p>
    <w:p w14:paraId="5C832653" w14:textId="77777777">
      <w:pPr>
        <w:pBdr/>
        <w:spacing/>
        <w:ind/>
        <w:jc w:val="both"/>
        <w:rPr>
          <w:rFonts w:ascii="Arial" w:hAnsi="Arial" w:cs="Arial"/>
        </w:rPr>
      </w:pPr>
      <w:r>
        <w:rPr>
          <w:rFonts w:ascii="Arial" w:hAnsi="Arial" w:cs="Arial"/>
        </w:rPr>
      </w:r>
      <w:r>
        <w:rPr>
          <w:rFonts w:ascii="Arial" w:hAnsi="Arial" w:cs="Arial"/>
        </w:rPr>
      </w:r>
    </w:p>
    <w:p w14:paraId="2E6233DE" w14:textId="77777777">
      <w:pPr>
        <w:pBdr/>
        <w:spacing/>
        <w:ind/>
        <w:jc w:val="both"/>
        <w:rPr>
          <w:rFonts w:ascii="Arial" w:hAnsi="Arial" w:cs="Arial"/>
        </w:rPr>
      </w:pPr>
      <w:r>
        <w:rPr>
          <w:rFonts w:ascii="Arial" w:hAnsi="Arial" w:cs="Arial"/>
          <w:b/>
        </w:rPr>
        <w:t xml:space="preserve">24.11.</w:t>
      </w:r>
      <w:r>
        <w:rPr>
          <w:rFonts w:ascii="Arial" w:hAnsi="Arial" w:cs="Arial"/>
        </w:rPr>
        <w:t xml:space="preserve"> O pagamento efetuado não isentará a contratada de suas responsabilidades vinculadas ao fornecimento, especialmente àquelas relacionadas com a qualidade e garantia dos bens fornecidos; </w:t>
      </w:r>
      <w:r>
        <w:rPr>
          <w:rFonts w:ascii="Arial" w:hAnsi="Arial" w:cs="Arial"/>
        </w:rPr>
      </w:r>
    </w:p>
    <w:p w14:paraId="086C8CD7" w14:textId="77777777">
      <w:pPr>
        <w:pBdr/>
        <w:spacing/>
        <w:ind/>
        <w:jc w:val="both"/>
        <w:rPr>
          <w:rFonts w:ascii="Arial" w:hAnsi="Arial" w:cs="Arial"/>
        </w:rPr>
      </w:pPr>
      <w:r>
        <w:rPr>
          <w:rFonts w:ascii="Arial" w:hAnsi="Arial" w:cs="Arial"/>
        </w:rPr>
      </w:r>
      <w:r>
        <w:rPr>
          <w:rFonts w:ascii="Arial" w:hAnsi="Arial" w:cs="Arial"/>
        </w:rPr>
      </w:r>
    </w:p>
    <w:p w14:paraId="4763C8A1" w14:textId="77777777">
      <w:pPr>
        <w:pBdr/>
        <w:spacing/>
        <w:ind/>
        <w:jc w:val="both"/>
        <w:rPr>
          <w:rFonts w:ascii="Arial" w:hAnsi="Arial" w:cs="Arial"/>
        </w:rPr>
      </w:pPr>
      <w:r>
        <w:rPr>
          <w:rFonts w:ascii="Arial" w:hAnsi="Arial" w:cs="Arial"/>
          <w:b/>
        </w:rPr>
        <w:t xml:space="preserve">24.12.</w:t>
      </w:r>
      <w:r>
        <w:rPr>
          <w:rFonts w:ascii="Arial" w:hAnsi="Arial" w:cs="Arial"/>
        </w:rPr>
        <w:t xml:space="preserve"> O pagamento a ser efetuado ficará condicionado à apresentação pela empresa dos comprobatórios de quitação das obrigações para com o INSS e FGTS, referente ao mês anterior. </w:t>
      </w:r>
      <w:r>
        <w:rPr>
          <w:rFonts w:ascii="Arial" w:hAnsi="Arial" w:cs="Arial"/>
        </w:rPr>
      </w:r>
    </w:p>
    <w:p w14:paraId="5A14AEFD" w14:textId="77777777">
      <w:pPr>
        <w:pBdr/>
        <w:spacing/>
        <w:ind/>
        <w:jc w:val="both"/>
        <w:rPr>
          <w:rFonts w:ascii="Arial" w:hAnsi="Arial" w:cs="Arial"/>
        </w:rPr>
      </w:pPr>
      <w:r>
        <w:rPr>
          <w:rFonts w:ascii="Arial" w:hAnsi="Arial" w:cs="Arial"/>
        </w:rPr>
      </w:r>
      <w:r>
        <w:rPr>
          <w:rFonts w:ascii="Arial" w:hAnsi="Arial" w:cs="Arial"/>
        </w:rPr>
      </w:r>
    </w:p>
    <w:p w14:paraId="668A0C54" w14:textId="77777777">
      <w:pPr>
        <w:pBdr/>
        <w:spacing/>
        <w:ind/>
        <w:jc w:val="both"/>
        <w:rPr>
          <w:rFonts w:ascii="Arial" w:hAnsi="Arial" w:cs="Arial"/>
        </w:rPr>
      </w:pPr>
      <w:r>
        <w:rPr>
          <w:rFonts w:ascii="Arial" w:hAnsi="Arial" w:cs="Arial"/>
          <w:b/>
        </w:rPr>
        <w:t xml:space="preserve">24.13. </w:t>
      </w:r>
      <w:r>
        <w:rPr>
          <w:rFonts w:ascii="Arial" w:hAnsi="Arial" w:cs="Arial"/>
        </w:rPr>
        <w:t xml:space="preserve">As Notas Fiscais deverão ser emitidas até o dia 25 de cada mês, conforme disposto no artigo 3º, § 1º da Instrução Normativa n. 03/2008. Nas Notas Fiscais deverão constar o número do processo e da modalidade da licitação, bem como a Secretaria solicitante.</w:t>
      </w:r>
      <w:r>
        <w:rPr>
          <w:rFonts w:ascii="Arial" w:hAnsi="Arial" w:cs="Arial"/>
        </w:rPr>
      </w:r>
    </w:p>
    <w:p w14:paraId="5907EC59" w14:textId="77777777">
      <w:pPr>
        <w:pBdr/>
        <w:spacing/>
        <w:ind/>
        <w:jc w:val="both"/>
        <w:rPr>
          <w:rFonts w:ascii="Arial" w:hAnsi="Arial" w:cs="Arial"/>
          <w:b/>
        </w:rPr>
      </w:pPr>
      <w:r>
        <w:rPr>
          <w:rFonts w:ascii="Arial" w:hAnsi="Arial" w:cs="Arial"/>
          <w:b/>
        </w:rPr>
      </w:r>
      <w:r>
        <w:rPr>
          <w:rFonts w:ascii="Arial" w:hAnsi="Arial" w:cs="Arial"/>
          <w:b/>
        </w:rPr>
      </w:r>
    </w:p>
    <w:p w14:paraId="2002F983" w14:textId="77777777">
      <w:pPr>
        <w:pBdr/>
        <w:spacing/>
        <w:ind/>
        <w:jc w:val="both"/>
        <w:rPr>
          <w:rFonts w:ascii="Arial" w:hAnsi="Arial" w:cs="Arial"/>
        </w:rPr>
      </w:pPr>
      <w:r>
        <w:rPr>
          <w:rFonts w:ascii="Arial" w:hAnsi="Arial" w:cs="Arial"/>
          <w:b/>
        </w:rPr>
        <w:t xml:space="preserve">24.14. </w:t>
      </w:r>
      <w:r>
        <w:rPr>
          <w:rFonts w:ascii="Arial" w:hAnsi="Arial" w:cs="Arial"/>
        </w:rPr>
        <w:t xml:space="preserve">O Município de Rondonópolis-MT, só autorizará a realização dos pagamentos, se houver por parte do setor requisitante dos produtos, o necessário ATESTO dos produtos entregues pela empresa vencedora, no verso da Nota Fiscal.</w:t>
      </w:r>
      <w:r>
        <w:rPr>
          <w:rFonts w:ascii="Arial" w:hAnsi="Arial" w:cs="Arial"/>
        </w:rPr>
      </w:r>
    </w:p>
    <w:p w14:paraId="2D2ACEA3" w14:textId="77777777">
      <w:pPr>
        <w:pBdr/>
        <w:spacing/>
        <w:ind/>
        <w:jc w:val="both"/>
        <w:rPr>
          <w:rFonts w:ascii="Arial" w:hAnsi="Arial" w:cs="Arial"/>
          <w:b/>
        </w:rPr>
      </w:pPr>
      <w:r>
        <w:rPr>
          <w:rFonts w:ascii="Arial" w:hAnsi="Arial" w:cs="Arial"/>
          <w:b/>
        </w:rPr>
      </w:r>
      <w:r>
        <w:rPr>
          <w:rFonts w:ascii="Arial" w:hAnsi="Arial" w:cs="Arial"/>
          <w:b/>
        </w:rPr>
      </w:r>
    </w:p>
    <w:p w14:paraId="5E4617F5" w14:textId="77777777">
      <w:pPr>
        <w:pBdr/>
        <w:spacing/>
        <w:ind/>
        <w:jc w:val="both"/>
        <w:rPr>
          <w:rFonts w:ascii="Arial" w:hAnsi="Arial" w:cs="Arial"/>
        </w:rPr>
      </w:pPr>
      <w:r>
        <w:rPr>
          <w:rFonts w:ascii="Arial" w:hAnsi="Arial" w:cs="Arial"/>
          <w:b/>
        </w:rPr>
        <w:t xml:space="preserve">24.15. </w:t>
      </w:r>
      <w:r>
        <w:rPr>
          <w:rFonts w:ascii="Arial" w:hAnsi="Arial" w:cs="Arial"/>
        </w:rPr>
        <w:t xml:space="preserve">Quando do pagamento, será efetuada a retenção tributária prevista na legislação aplicável.</w:t>
      </w:r>
      <w:r>
        <w:rPr>
          <w:rFonts w:ascii="Arial" w:hAnsi="Arial" w:cs="Arial"/>
        </w:rPr>
      </w:r>
    </w:p>
    <w:p w14:paraId="4211FC8D" w14:textId="77777777">
      <w:pPr>
        <w:pBdr/>
        <w:spacing/>
        <w:ind/>
        <w:jc w:val="both"/>
        <w:rPr>
          <w:rFonts w:ascii="Arial" w:hAnsi="Arial" w:cs="Arial"/>
        </w:rPr>
      </w:pPr>
      <w:r>
        <w:rPr>
          <w:rFonts w:ascii="Arial" w:hAnsi="Arial" w:cs="Arial"/>
        </w:rPr>
      </w:r>
      <w:r>
        <w:rPr>
          <w:rFonts w:ascii="Arial" w:hAnsi="Arial" w:cs="Arial"/>
        </w:rPr>
      </w:r>
    </w:p>
    <w:p w14:paraId="4712924D" w14:textId="77777777">
      <w:pPr>
        <w:pBdr/>
        <w:spacing/>
        <w:ind/>
        <w:jc w:val="both"/>
        <w:rPr>
          <w:rFonts w:ascii="Arial" w:hAnsi="Arial" w:cs="Arial"/>
        </w:rPr>
      </w:pPr>
      <w:r>
        <w:rPr>
          <w:rFonts w:ascii="Arial" w:hAnsi="Arial" w:cs="Arial"/>
          <w:b/>
        </w:rPr>
        <w:t xml:space="preserve">24.16</w:t>
      </w:r>
      <w:r>
        <w:rPr>
          <w:rFonts w:ascii="Arial" w:hAnsi="Arial" w:cs="Arial"/>
        </w:rPr>
        <w:t xml:space="preserve">. Após 30 (trinta) dias da data em que deveria ser efetua</w:t>
      </w:r>
      <w:r>
        <w:rPr>
          <w:rFonts w:ascii="Arial" w:hAnsi="Arial" w:cs="Arial"/>
        </w:rPr>
        <w:t xml:space="preserve">do o pagamento das faturas, incidirá sobre o valor faturado atualização monetária com base no Índice de Nacional de Preços ao Consumidor Amplo (IPCA) ou Índice Geral de Preços - Mercado (IGP-M), sendo que sempre será utilizado o índice de menor percentual.</w:t>
      </w:r>
      <w:r>
        <w:rPr>
          <w:rFonts w:ascii="Arial" w:hAnsi="Arial" w:cs="Arial"/>
        </w:rPr>
      </w:r>
    </w:p>
    <w:p w14:paraId="2E836F16" w14:textId="77777777">
      <w:pPr>
        <w:pBdr/>
        <w:spacing/>
        <w:ind/>
        <w:jc w:val="both"/>
        <w:rPr>
          <w:rFonts w:ascii="Arial" w:hAnsi="Arial" w:cs="Arial"/>
        </w:rPr>
      </w:pPr>
      <w:r>
        <w:rPr>
          <w:rFonts w:ascii="Arial" w:hAnsi="Arial" w:cs="Arial"/>
        </w:rPr>
      </w:r>
      <w:r>
        <w:rPr>
          <w:rFonts w:ascii="Arial" w:hAnsi="Arial" w:cs="Arial"/>
        </w:rPr>
      </w:r>
    </w:p>
    <w:p w14:paraId="0349740A" w14:textId="77777777">
      <w:pPr>
        <w:pBdr/>
        <w:spacing/>
        <w:ind/>
        <w:jc w:val="both"/>
        <w:rPr>
          <w:rFonts w:ascii="Arial" w:hAnsi="Arial" w:cs="Arial"/>
          <w:b/>
          <w:color w:val="000000"/>
        </w:rPr>
      </w:pPr>
      <w:r>
        <w:rPr>
          <w:rFonts w:ascii="Arial" w:hAnsi="Arial" w:cs="Arial"/>
          <w:b/>
          <w:color w:val="000000"/>
        </w:rPr>
        <w:t xml:space="preserve">25. DO PRAZO DO CONTRATO E POSSIBILIDADE DE PRORROGAÇÃO (INCISO I DO DECRETO MUNICIPAL 11.685/2023):</w:t>
      </w:r>
      <w:r>
        <w:rPr>
          <w:rFonts w:ascii="Arial" w:hAnsi="Arial" w:cs="Arial"/>
          <w:b/>
          <w:color w:val="000000"/>
        </w:rPr>
      </w:r>
    </w:p>
    <w:p w14:paraId="33F55D54"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670A341C" w14:textId="77777777">
      <w:pPr>
        <w:pBdr/>
        <w:spacing/>
        <w:ind/>
        <w:jc w:val="both"/>
        <w:rPr>
          <w:rFonts w:ascii="Arial" w:hAnsi="Arial" w:cs="Arial"/>
        </w:rPr>
      </w:pPr>
      <w:r>
        <w:rPr>
          <w:rFonts w:ascii="Arial" w:hAnsi="Arial" w:cs="Arial"/>
          <w:b/>
          <w:color w:val="000000"/>
        </w:rPr>
        <w:t xml:space="preserve">25.1.</w:t>
      </w:r>
      <w:r>
        <w:rPr>
          <w:rFonts w:ascii="Arial" w:hAnsi="Arial" w:cs="Arial"/>
          <w:color w:val="000000"/>
        </w:rPr>
        <w:t xml:space="preserve"> O contrato futuro a ser celebrado terá validade de 12 (doze) meses, contados da assinatura do mesmo, </w:t>
      </w:r>
      <w:r>
        <w:rPr>
          <w:rFonts w:ascii="Arial" w:hAnsi="Arial" w:cs="Arial"/>
        </w:rPr>
        <w:t xml:space="preserve">podendo ser prorrogado conforme art. 107 da lei 14.133/2021.</w:t>
      </w:r>
      <w:r>
        <w:rPr>
          <w:rFonts w:ascii="Arial" w:hAnsi="Arial" w:cs="Arial"/>
        </w:rPr>
      </w:r>
    </w:p>
    <w:p w14:paraId="0D7E09CA"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374A4846" w14:textId="77777777">
      <w:pPr>
        <w:pBdr/>
        <w:spacing/>
        <w:ind/>
        <w:jc w:val="both"/>
        <w:rPr>
          <w:rFonts w:ascii="Arial" w:hAnsi="Arial" w:cs="Arial"/>
          <w:color w:val="000000"/>
        </w:rPr>
      </w:pPr>
      <w:r>
        <w:rPr>
          <w:rFonts w:ascii="Arial" w:hAnsi="Arial" w:cs="Arial"/>
          <w:b/>
          <w:color w:val="000000"/>
        </w:rPr>
        <w:t xml:space="preserve">25.1.1.</w:t>
      </w:r>
      <w:r>
        <w:rPr>
          <w:rFonts w:ascii="Arial" w:hAnsi="Arial" w:cs="Arial"/>
          <w:color w:val="000000"/>
        </w:rPr>
        <w:t xml:space="preserve"> Quando a não conclusão decorrer de culpa do contratado ele será constituído em mora (sem prejuízo da aplicação da</w:t>
      </w:r>
      <w:r>
        <w:rPr>
          <w:rFonts w:ascii="Arial" w:hAnsi="Arial" w:cs="Arial"/>
          <w:color w:val="000000"/>
        </w:rPr>
        <w:t xml:space="preserve">s respectivas sanções administrativas) e a Administração poderá optar pela extinção do contrato ocasião em que adotará as medidas admitidas em lei para a continuidade da execução contratual. Conforme estabelece o parágrafo único do 111 da Lei 14.133/2021).</w:t>
      </w:r>
      <w:r>
        <w:rPr>
          <w:rFonts w:ascii="Arial" w:hAnsi="Arial" w:cs="Arial"/>
          <w:color w:val="000000"/>
        </w:rPr>
      </w:r>
    </w:p>
    <w:p w14:paraId="37C3809E"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622A0969" w14:textId="77777777">
      <w:pPr>
        <w:pBdr/>
        <w:spacing/>
        <w:ind/>
        <w:jc w:val="both"/>
        <w:rPr>
          <w:rFonts w:ascii="Arial" w:hAnsi="Arial" w:cs="Arial"/>
          <w:b/>
          <w:color w:val="000000"/>
        </w:rPr>
      </w:pPr>
      <w:r>
        <w:rPr>
          <w:rFonts w:ascii="Arial" w:hAnsi="Arial" w:cs="Arial"/>
          <w:b/>
          <w:color w:val="000000"/>
        </w:rPr>
        <w:t xml:space="preserve">26. DA EXTINÇÃO DO CONTRATO:</w:t>
      </w:r>
      <w:r>
        <w:rPr>
          <w:rFonts w:ascii="Arial" w:hAnsi="Arial" w:cs="Arial"/>
          <w:b/>
          <w:color w:val="000000"/>
        </w:rPr>
      </w:r>
    </w:p>
    <w:p w14:paraId="01B7DD16"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05A9439A" w14:textId="77777777">
      <w:pPr>
        <w:pBdr/>
        <w:spacing/>
        <w:ind/>
        <w:jc w:val="both"/>
        <w:rPr>
          <w:rFonts w:ascii="Arial" w:hAnsi="Arial" w:cs="Arial"/>
          <w:color w:val="000000"/>
        </w:rPr>
      </w:pPr>
      <w:r>
        <w:rPr>
          <w:rFonts w:ascii="Arial" w:hAnsi="Arial" w:cs="Arial"/>
          <w:b/>
          <w:color w:val="000000"/>
        </w:rPr>
        <w:t xml:space="preserve">26.1.</w:t>
      </w:r>
      <w:r>
        <w:rPr>
          <w:rFonts w:ascii="Arial" w:hAnsi="Arial" w:cs="Arial"/>
          <w:color w:val="000000"/>
        </w:rPr>
        <w:t xml:space="preserve"> O contrato se extingue quando cumpridas as obrigações de ambas as partes, ainda que isso ocorra antes do prazo estipulado para tanto.</w:t>
      </w:r>
      <w:r>
        <w:rPr>
          <w:rFonts w:ascii="Arial" w:hAnsi="Arial" w:cs="Arial"/>
          <w:color w:val="000000"/>
        </w:rPr>
      </w:r>
    </w:p>
    <w:p w14:paraId="49931DAD"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2BE63F32" w14:textId="77777777">
      <w:pPr>
        <w:pBdr/>
        <w:spacing/>
        <w:ind/>
        <w:jc w:val="both"/>
        <w:rPr>
          <w:rFonts w:ascii="Arial" w:hAnsi="Arial" w:cs="Arial"/>
          <w:color w:val="000000"/>
        </w:rPr>
      </w:pPr>
      <w:r>
        <w:rPr>
          <w:rFonts w:ascii="Arial" w:hAnsi="Arial" w:cs="Arial"/>
          <w:b/>
          <w:color w:val="000000"/>
        </w:rPr>
        <w:t xml:space="preserve">26.2.</w:t>
      </w:r>
      <w:r>
        <w:rPr>
          <w:rFonts w:ascii="Arial" w:hAnsi="Arial" w:cs="Arial"/>
          <w:color w:val="000000"/>
        </w:rPr>
        <w:t xml:space="preserve"> Se as obrigações não forem cumpridas no prazo estipulado, a vigência ficará prorrogada até a conclusão do objeto, caso em que deverá a Administração providenciar a readequação do cronograma fixado para o contrato.</w:t>
      </w:r>
      <w:r>
        <w:rPr>
          <w:rFonts w:ascii="Arial" w:hAnsi="Arial" w:cs="Arial"/>
          <w:color w:val="000000"/>
        </w:rPr>
      </w:r>
    </w:p>
    <w:p w14:paraId="3B13250D"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68812CED" w14:textId="77777777">
      <w:pPr>
        <w:pBdr/>
        <w:spacing/>
        <w:ind/>
        <w:jc w:val="both"/>
        <w:rPr>
          <w:rFonts w:ascii="Arial" w:hAnsi="Arial" w:cs="Arial"/>
          <w:color w:val="000000"/>
        </w:rPr>
      </w:pPr>
      <w:r>
        <w:rPr>
          <w:rFonts w:ascii="Arial" w:hAnsi="Arial" w:cs="Arial"/>
          <w:b/>
          <w:color w:val="000000"/>
        </w:rPr>
        <w:t xml:space="preserve">26.3.</w:t>
      </w:r>
      <w:r>
        <w:rPr>
          <w:rFonts w:ascii="Arial" w:hAnsi="Arial" w:cs="Arial"/>
          <w:color w:val="000000"/>
        </w:rPr>
        <w:t xml:space="preserve"> Quando a não conclusão do contrato referida no item anterior decorrer de culpa da contrata</w:t>
      </w:r>
      <w:r>
        <w:rPr>
          <w:rFonts w:ascii="Arial" w:hAnsi="Arial" w:cs="Arial"/>
          <w:color w:val="000000"/>
        </w:rPr>
        <w:t xml:space="preserve">da: (a) ficará ela constituída em mora, sendo-lhe aplicáveis as respectivas sanções administrativas; e (b) poderá a Administração optar pela extinção do contrato e, nesse caso, adotará as medidas admitidas em lei para a continuidade da execução contratual.</w:t>
      </w:r>
      <w:r>
        <w:rPr>
          <w:rFonts w:ascii="Arial" w:hAnsi="Arial" w:cs="Arial"/>
          <w:color w:val="000000"/>
        </w:rPr>
      </w:r>
    </w:p>
    <w:p w14:paraId="3EA56BB2"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6B215F35" w14:textId="77777777">
      <w:pPr>
        <w:pBdr/>
        <w:spacing/>
        <w:ind/>
        <w:jc w:val="both"/>
        <w:rPr>
          <w:rFonts w:ascii="Arial" w:hAnsi="Arial" w:cs="Arial"/>
          <w:color w:val="000000"/>
        </w:rPr>
      </w:pPr>
      <w:r>
        <w:rPr>
          <w:rFonts w:ascii="Arial" w:hAnsi="Arial" w:cs="Arial"/>
          <w:b/>
          <w:color w:val="000000"/>
        </w:rPr>
        <w:t xml:space="preserve">26.4.</w:t>
      </w:r>
      <w:r>
        <w:rPr>
          <w:rFonts w:ascii="Arial" w:hAnsi="Arial" w:cs="Arial"/>
          <w:color w:val="000000"/>
        </w:rPr>
        <w:t xml:space="preserve"> O presente termo de contrato poderá ser extinto nas hipóteses previstas no rol do </w:t>
      </w:r>
      <w:r>
        <w:rPr>
          <w:rFonts w:ascii="Arial" w:hAnsi="Arial" w:cs="Arial"/>
          <w:color w:val="000000"/>
        </w:rPr>
        <w:t xml:space="preserve">artigo 137 da Lei nº 14.133/2021, devendo a extinção ser formalmente motivada nos autos do processo, assegurado o contraditório e ampla defesa e respeitados os procedimentos descritos no Decreto Municipal nº 11.685/2023 e nas demais legislações aplicáveis.</w:t>
      </w:r>
      <w:r>
        <w:rPr>
          <w:rFonts w:ascii="Arial" w:hAnsi="Arial" w:cs="Arial"/>
          <w:color w:val="000000"/>
        </w:rPr>
      </w:r>
    </w:p>
    <w:p w14:paraId="7A4E6265"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2C21BD7F" w14:textId="77777777">
      <w:pPr>
        <w:pBdr/>
        <w:spacing/>
        <w:ind/>
        <w:jc w:val="both"/>
        <w:rPr>
          <w:rFonts w:ascii="Arial" w:hAnsi="Arial" w:cs="Arial"/>
          <w:color w:val="000000"/>
        </w:rPr>
      </w:pPr>
      <w:r>
        <w:rPr>
          <w:rFonts w:ascii="Arial" w:hAnsi="Arial" w:cs="Arial"/>
          <w:b/>
          <w:color w:val="000000"/>
        </w:rPr>
        <w:t xml:space="preserve">26.4.1.</w:t>
      </w:r>
      <w:r>
        <w:rPr>
          <w:rFonts w:ascii="Arial" w:hAnsi="Arial" w:cs="Arial"/>
          <w:color w:val="000000"/>
        </w:rPr>
        <w:t xml:space="preserve"> Nesta hipótese, aplicam-se também os artigos 138 e 139 da Lei 14.133/2021.</w:t>
      </w:r>
      <w:r>
        <w:rPr>
          <w:rFonts w:ascii="Arial" w:hAnsi="Arial" w:cs="Arial"/>
          <w:color w:val="000000"/>
        </w:rPr>
      </w:r>
    </w:p>
    <w:p w14:paraId="256F6DE8" w14:textId="77777777">
      <w:pPr>
        <w:pBdr/>
        <w:spacing/>
        <w:ind/>
        <w:jc w:val="both"/>
        <w:rPr>
          <w:rFonts w:ascii="Arial" w:hAnsi="Arial" w:cs="Arial"/>
          <w:b/>
          <w:color w:val="000000"/>
        </w:rPr>
      </w:pPr>
      <w:r>
        <w:rPr>
          <w:rFonts w:ascii="Arial" w:hAnsi="Arial" w:cs="Arial"/>
          <w:b/>
          <w:color w:val="000000"/>
        </w:rPr>
      </w:r>
      <w:r>
        <w:rPr>
          <w:rFonts w:ascii="Arial" w:hAnsi="Arial" w:cs="Arial"/>
          <w:b/>
          <w:color w:val="000000"/>
        </w:rPr>
      </w:r>
    </w:p>
    <w:p w14:paraId="3ED81CAC" w14:textId="77777777">
      <w:pPr>
        <w:pBdr/>
        <w:spacing/>
        <w:ind/>
        <w:jc w:val="both"/>
        <w:rPr>
          <w:rFonts w:ascii="Arial" w:hAnsi="Arial" w:cs="Arial"/>
          <w:color w:val="000000"/>
        </w:rPr>
      </w:pPr>
      <w:r>
        <w:rPr>
          <w:rFonts w:ascii="Arial" w:hAnsi="Arial" w:cs="Arial"/>
          <w:b/>
          <w:color w:val="000000"/>
        </w:rPr>
        <w:t xml:space="preserve">26.4.2.</w:t>
      </w:r>
      <w:r>
        <w:rPr>
          <w:rFonts w:ascii="Arial" w:hAnsi="Arial" w:cs="Arial"/>
          <w:color w:val="000000"/>
        </w:rPr>
        <w:t xml:space="preserve"> A alteração social ou a modificação da finalidade ou da estrutura da empresa não ensejará a rescisão se não restringir sua capacidade de concluir o contrato.</w:t>
      </w:r>
      <w:r>
        <w:rPr>
          <w:rFonts w:ascii="Arial" w:hAnsi="Arial" w:cs="Arial"/>
          <w:color w:val="000000"/>
        </w:rPr>
      </w:r>
    </w:p>
    <w:p w14:paraId="03D0BF97"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7A52B3CE" w14:textId="77777777">
      <w:pPr>
        <w:pBdr/>
        <w:spacing/>
        <w:ind/>
        <w:jc w:val="both"/>
        <w:rPr>
          <w:rFonts w:ascii="Arial" w:hAnsi="Arial" w:cs="Arial"/>
          <w:color w:val="000000"/>
        </w:rPr>
      </w:pPr>
      <w:r>
        <w:rPr>
          <w:rFonts w:ascii="Arial" w:hAnsi="Arial" w:cs="Arial"/>
          <w:b/>
          <w:color w:val="000000"/>
        </w:rPr>
        <w:t xml:space="preserve">26.4.4.</w:t>
      </w:r>
      <w:r>
        <w:rPr>
          <w:rFonts w:ascii="Arial" w:hAnsi="Arial" w:cs="Arial"/>
          <w:color w:val="000000"/>
        </w:rPr>
        <w:t xml:space="preserve">  Se a operação implicar mudança da pessoa jurídica contratada, deverá ser formalizado termo aditivo para alteração subjetiva.</w:t>
      </w:r>
      <w:r>
        <w:rPr>
          <w:rFonts w:ascii="Arial" w:hAnsi="Arial" w:cs="Arial"/>
          <w:color w:val="000000"/>
        </w:rPr>
      </w:r>
    </w:p>
    <w:p w14:paraId="51C8EFA1"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249DCED4" w14:textId="77777777">
      <w:pPr>
        <w:pBdr/>
        <w:spacing/>
        <w:ind/>
        <w:jc w:val="both"/>
        <w:rPr>
          <w:rFonts w:ascii="Arial" w:hAnsi="Arial" w:cs="Arial"/>
          <w:color w:val="000000"/>
        </w:rPr>
      </w:pPr>
      <w:r>
        <w:rPr>
          <w:rFonts w:ascii="Arial" w:hAnsi="Arial" w:cs="Arial"/>
          <w:b/>
          <w:color w:val="000000"/>
        </w:rPr>
        <w:t xml:space="preserve">26.5.</w:t>
      </w:r>
      <w:r>
        <w:rPr>
          <w:rFonts w:ascii="Arial" w:hAnsi="Arial" w:cs="Arial"/>
          <w:color w:val="000000"/>
        </w:rPr>
        <w:t xml:space="preserve"> A extinção determinada por ato unilateral da Administração e a extinção consensual deverão ser precedidas de autorização escrita e fundamentada da autoridade competente e reduzidas a termo no respectivo processo.</w:t>
      </w:r>
      <w:r>
        <w:rPr>
          <w:rFonts w:ascii="Arial" w:hAnsi="Arial" w:cs="Arial"/>
          <w:color w:val="000000"/>
        </w:rPr>
      </w:r>
    </w:p>
    <w:p w14:paraId="55145E9A"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097E0DA5" w14:textId="77777777">
      <w:pPr>
        <w:pBdr/>
        <w:spacing/>
        <w:ind/>
        <w:jc w:val="both"/>
        <w:rPr>
          <w:rFonts w:ascii="Arial" w:hAnsi="Arial" w:cs="Arial"/>
          <w:color w:val="000000"/>
        </w:rPr>
      </w:pPr>
      <w:r>
        <w:rPr>
          <w:rFonts w:ascii="Arial" w:hAnsi="Arial" w:cs="Arial"/>
          <w:b/>
          <w:color w:val="000000"/>
        </w:rPr>
        <w:t xml:space="preserve">26.6.</w:t>
      </w:r>
      <w:r>
        <w:rPr>
          <w:rFonts w:ascii="Arial" w:hAnsi="Arial" w:cs="Arial"/>
          <w:color w:val="000000"/>
        </w:rPr>
        <w:t xml:space="preserve"> O contrato poderá ser extinto caso se constate que o contratado mantém vínculo de natureza técnica, comercial, econômica, financeira, trabalhista ou civil com dirigente do órgão ou entidade contratante ou com agente públic</w:t>
      </w:r>
      <w:r>
        <w:rPr>
          <w:rFonts w:ascii="Arial" w:hAnsi="Arial" w:cs="Arial"/>
          <w:color w:val="000000"/>
        </w:rPr>
        <w:t xml:space="preserve">o que tenha desempenhado função na licitação ou atue na fiscalização ou na gestão do contrato, ou que deles seja cônjuge, companheiro ou parente em linha reta, colateral ou por afinidade, até o terceiro grau (art. 14, inciso IV, da Lei nº 14.133, de 2021).</w:t>
      </w:r>
      <w:r>
        <w:rPr>
          <w:rFonts w:ascii="Arial" w:hAnsi="Arial" w:cs="Arial"/>
          <w:color w:val="000000"/>
        </w:rPr>
      </w:r>
    </w:p>
    <w:p w14:paraId="43DE224C"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3BD68FA8" w14:textId="77777777">
      <w:pPr>
        <w:pBdr/>
        <w:spacing/>
        <w:ind/>
        <w:jc w:val="both"/>
        <w:rPr>
          <w:rFonts w:ascii="Arial" w:hAnsi="Arial" w:cs="Arial"/>
          <w:color w:val="000000"/>
        </w:rPr>
      </w:pPr>
      <w:r>
        <w:rPr>
          <w:rFonts w:ascii="Arial" w:hAnsi="Arial" w:cs="Arial"/>
          <w:b/>
          <w:color w:val="000000"/>
        </w:rPr>
        <w:t xml:space="preserve">26.7.</w:t>
      </w:r>
      <w:r>
        <w:rPr>
          <w:rFonts w:ascii="Arial" w:hAnsi="Arial" w:cs="Arial"/>
          <w:color w:val="000000"/>
        </w:rPr>
        <w:t xml:space="preserve"> A extinção do contrato não configura óbice para o reconhecimento do desequilíbrio econômico-financeiro, hipótese em que será concedida indenização por meio de termo indenizatório (Art. 131, caput, da Lei nº 14.133, de 2021).</w:t>
      </w:r>
      <w:r>
        <w:rPr>
          <w:rFonts w:ascii="Arial" w:hAnsi="Arial" w:cs="Arial"/>
          <w:color w:val="000000"/>
        </w:rPr>
      </w:r>
    </w:p>
    <w:p w14:paraId="3151F5E6" w14:textId="77777777">
      <w:pPr>
        <w:pBdr/>
        <w:spacing/>
        <w:ind/>
        <w:jc w:val="both"/>
        <w:rPr>
          <w:rFonts w:ascii="Arial" w:hAnsi="Arial" w:cs="Arial"/>
        </w:rPr>
      </w:pPr>
      <w:r>
        <w:rPr>
          <w:rFonts w:ascii="Arial" w:hAnsi="Arial" w:cs="Arial"/>
        </w:rPr>
      </w:r>
      <w:r>
        <w:rPr>
          <w:rFonts w:ascii="Arial" w:hAnsi="Arial" w:cs="Arial"/>
        </w:rPr>
      </w:r>
    </w:p>
    <w:p w14:paraId="3053588A" w14:textId="77777777">
      <w:pPr>
        <w:pBdr/>
        <w:spacing/>
        <w:ind/>
        <w:jc w:val="both"/>
        <w:rPr>
          <w:rFonts w:ascii="Arial" w:hAnsi="Arial" w:cs="Arial"/>
          <w:b/>
          <w:color w:val="000000"/>
        </w:rPr>
      </w:pPr>
      <w:r>
        <w:rPr>
          <w:rFonts w:ascii="Arial" w:hAnsi="Arial" w:cs="Arial"/>
          <w:b/>
        </w:rPr>
        <w:t xml:space="preserve">27. </w:t>
      </w:r>
      <w:r>
        <w:rPr>
          <w:rFonts w:ascii="Arial" w:hAnsi="Arial" w:cs="Arial"/>
          <w:b/>
          <w:color w:val="000000"/>
        </w:rPr>
        <w:t xml:space="preserve">DO REAJUSTAMENTO, REPACTUAÇÃO, REVISÃO, SUPRESSÕES E ACRÉSCIMOS:</w:t>
      </w:r>
      <w:r>
        <w:rPr>
          <w:rFonts w:ascii="Arial" w:hAnsi="Arial" w:cs="Arial"/>
          <w:b/>
          <w:color w:val="000000"/>
        </w:rPr>
      </w:r>
    </w:p>
    <w:p w14:paraId="087873C3" w14:textId="77777777">
      <w:pPr>
        <w:pBdr/>
        <w:spacing/>
        <w:ind/>
        <w:jc w:val="both"/>
        <w:rPr>
          <w:rFonts w:ascii="Arial" w:hAnsi="Arial" w:cs="Arial"/>
          <w:b/>
        </w:rPr>
      </w:pPr>
      <w:r>
        <w:rPr>
          <w:rFonts w:ascii="Arial" w:hAnsi="Arial" w:cs="Arial"/>
          <w:b/>
        </w:rPr>
      </w:r>
      <w:r>
        <w:rPr>
          <w:rFonts w:ascii="Arial" w:hAnsi="Arial" w:cs="Arial"/>
          <w:b/>
        </w:rPr>
      </w:r>
    </w:p>
    <w:p w14:paraId="0FFDBA36" w14:textId="77777777">
      <w:pPr>
        <w:pBdr/>
        <w:spacing/>
        <w:ind/>
        <w:jc w:val="both"/>
        <w:rPr>
          <w:rFonts w:ascii="Arial" w:hAnsi="Arial" w:cs="Arial"/>
        </w:rPr>
      </w:pPr>
      <w:r>
        <w:rPr>
          <w:rFonts w:ascii="Arial" w:hAnsi="Arial" w:cs="Arial"/>
          <w:b/>
        </w:rPr>
        <w:t xml:space="preserve">27.1 DO CRITÉRIO DE REAJUSTE:</w:t>
      </w:r>
      <w:r>
        <w:rPr>
          <w:rFonts w:ascii="Arial" w:hAnsi="Arial" w:cs="Arial"/>
        </w:rPr>
      </w:r>
    </w:p>
    <w:p w14:paraId="13DD7034" w14:textId="77777777">
      <w:pPr>
        <w:pBdr/>
        <w:spacing/>
        <w:ind/>
        <w:jc w:val="both"/>
        <w:rPr>
          <w:rFonts w:ascii="Arial" w:hAnsi="Arial" w:cs="Arial"/>
          <w:b/>
        </w:rPr>
      </w:pPr>
      <w:r>
        <w:rPr>
          <w:rFonts w:ascii="Arial" w:hAnsi="Arial" w:cs="Arial"/>
          <w:b/>
        </w:rPr>
      </w:r>
      <w:r>
        <w:rPr>
          <w:rFonts w:ascii="Arial" w:hAnsi="Arial" w:cs="Arial"/>
          <w:b/>
        </w:rPr>
      </w:r>
    </w:p>
    <w:p w14:paraId="3126326A" w14:textId="77777777">
      <w:pPr>
        <w:pBdr/>
        <w:spacing/>
        <w:ind/>
        <w:jc w:val="both"/>
        <w:rPr>
          <w:rFonts w:ascii="Arial" w:hAnsi="Arial" w:cs="Arial"/>
        </w:rPr>
      </w:pPr>
      <w:r>
        <w:rPr>
          <w:rFonts w:ascii="Arial" w:hAnsi="Arial" w:cs="Arial"/>
          <w:b/>
        </w:rPr>
        <w:t xml:space="preserve">27.1.1.</w:t>
      </w:r>
      <w:r>
        <w:rPr>
          <w:rFonts w:ascii="Arial" w:hAnsi="Arial" w:cs="Arial"/>
        </w:rPr>
        <w:t xml:space="preserve"> Os preços inicialmente contratados são fixos e irreajustáveis pelo prazo de um ano contado da data do orçamento estimado.</w:t>
      </w:r>
      <w:r>
        <w:rPr>
          <w:rFonts w:ascii="Arial" w:hAnsi="Arial" w:cs="Arial"/>
        </w:rPr>
      </w:r>
    </w:p>
    <w:p w14:paraId="2168D6D7" w14:textId="77777777">
      <w:pPr>
        <w:pBdr/>
        <w:spacing/>
        <w:ind/>
        <w:jc w:val="both"/>
        <w:rPr>
          <w:rFonts w:ascii="Arial" w:hAnsi="Arial" w:cs="Arial"/>
        </w:rPr>
      </w:pPr>
      <w:r>
        <w:rPr>
          <w:rFonts w:ascii="Arial" w:hAnsi="Arial" w:cs="Arial"/>
        </w:rPr>
      </w:r>
      <w:r>
        <w:rPr>
          <w:rFonts w:ascii="Arial" w:hAnsi="Arial" w:cs="Arial"/>
        </w:rPr>
      </w:r>
    </w:p>
    <w:p w14:paraId="4E06B0C6" w14:textId="77777777">
      <w:pPr>
        <w:pStyle w:val="1084"/>
        <w:widowControl w:val="false"/>
        <w:pBdr/>
        <w:tabs>
          <w:tab w:val="left" w:leader="none" w:pos="426"/>
        </w:tabs>
        <w:spacing/>
        <w:ind/>
        <w:jc w:val="both"/>
        <w:rPr>
          <w:rFonts w:ascii="Arial" w:hAnsi="Arial" w:cs="Arial"/>
          <w:sz w:val="20"/>
          <w:szCs w:val="20"/>
        </w:rPr>
      </w:pPr>
      <w:r>
        <w:rPr>
          <w:rFonts w:ascii="Arial" w:hAnsi="Arial" w:cs="Arial"/>
          <w:b/>
          <w:bCs/>
          <w:iCs/>
          <w:spacing w:val="-1"/>
          <w:sz w:val="20"/>
          <w:szCs w:val="20"/>
          <w:lang w:eastAsia="pt-BR"/>
        </w:rPr>
        <w:t xml:space="preserve">27.1.1.1.</w:t>
      </w:r>
      <w:r>
        <w:rPr>
          <w:rFonts w:ascii="Arial" w:hAnsi="Arial" w:cs="Arial"/>
          <w:bCs/>
          <w:iCs/>
          <w:spacing w:val="-1"/>
          <w:sz w:val="20"/>
          <w:szCs w:val="20"/>
          <w:lang w:eastAsia="pt-BR"/>
        </w:rPr>
        <w:t xml:space="preserve"> </w:t>
      </w:r>
      <w:r>
        <w:rPr>
          <w:rFonts w:ascii="Arial" w:hAnsi="Arial" w:cs="Arial"/>
          <w:iCs/>
          <w:spacing w:val="-1"/>
          <w:sz w:val="20"/>
          <w:szCs w:val="20"/>
          <w:lang w:eastAsia="pt-BR"/>
        </w:rPr>
        <w:t xml:space="preserve">Considera-se preço registrado aquele atribuído ao produto, incluindo todas as despesas tais como: tributos (impostos, taxas, emolumentos, contribuições fiscais e para fiscais) e</w:t>
      </w:r>
      <w:r>
        <w:rPr>
          <w:rFonts w:ascii="Arial" w:hAnsi="Arial" w:cs="Arial"/>
          <w:sz w:val="20"/>
          <w:szCs w:val="20"/>
        </w:rPr>
        <w:t xml:space="preserve"> qualquer despesa, acessória e/ou complementar e outras não especificadas neste edital, mas que incidam no cumprimento das obrigações assumidas pela empresa detentora da Ata na execução da mesma.</w:t>
      </w:r>
      <w:r>
        <w:rPr>
          <w:rFonts w:ascii="Arial" w:hAnsi="Arial" w:cs="Arial"/>
          <w:sz w:val="20"/>
          <w:szCs w:val="20"/>
        </w:rPr>
      </w:r>
    </w:p>
    <w:p w14:paraId="71B87E62" w14:textId="77777777">
      <w:pPr>
        <w:pBdr/>
        <w:spacing/>
        <w:ind/>
        <w:jc w:val="both"/>
        <w:rPr>
          <w:rFonts w:ascii="Arial" w:hAnsi="Arial" w:cs="Arial"/>
        </w:rPr>
      </w:pPr>
      <w:r>
        <w:rPr>
          <w:rFonts w:ascii="Arial" w:hAnsi="Arial" w:cs="Arial"/>
        </w:rPr>
      </w:r>
      <w:r>
        <w:rPr>
          <w:rFonts w:ascii="Arial" w:hAnsi="Arial" w:cs="Arial"/>
        </w:rPr>
      </w:r>
    </w:p>
    <w:p w14:paraId="4DD5695E" w14:textId="77777777">
      <w:pPr>
        <w:pBdr/>
        <w:spacing/>
        <w:ind/>
        <w:jc w:val="both"/>
        <w:rPr>
          <w:rFonts w:ascii="Arial" w:hAnsi="Arial" w:cs="Arial"/>
        </w:rPr>
      </w:pPr>
      <w:r>
        <w:rPr>
          <w:rFonts w:ascii="Arial" w:hAnsi="Arial" w:cs="Arial"/>
          <w:b/>
        </w:rPr>
        <w:t xml:space="preserve">27.1.2.</w:t>
      </w:r>
      <w:r>
        <w:rPr>
          <w:rFonts w:ascii="Arial" w:hAnsi="Arial" w:cs="Arial"/>
        </w:rPr>
        <w:t xml:space="preserve"> Após o interregno de 1 (um) ano, os preços iniciais serão reajustados, mediante a aplicação, pelo contratante, </w:t>
      </w:r>
      <w:r>
        <w:rPr>
          <w:rFonts w:ascii="Arial" w:hAnsi="Arial" w:cs="Arial"/>
        </w:rPr>
        <w:t xml:space="preserve">do Índice de Nacional de Preços ao Consumidor Amplo (IPCA) ou Índice Geral de Preços – Mercado (IGP-M), sendo que sempre será utilizado o índice de menor percentual, exclusivamente para as obrigações iniciadas e concluídas após a ocorrência da anualidade. </w:t>
      </w:r>
      <w:r>
        <w:rPr>
          <w:rFonts w:ascii="Arial" w:hAnsi="Arial" w:cs="Arial"/>
        </w:rPr>
      </w:r>
    </w:p>
    <w:p w14:paraId="0F38070E" w14:textId="77777777">
      <w:pPr>
        <w:pBdr/>
        <w:spacing/>
        <w:ind/>
        <w:jc w:val="both"/>
        <w:rPr>
          <w:rFonts w:ascii="Arial" w:hAnsi="Arial" w:cs="Arial"/>
        </w:rPr>
      </w:pPr>
      <w:r>
        <w:rPr>
          <w:rFonts w:ascii="Arial" w:hAnsi="Arial" w:cs="Arial"/>
        </w:rPr>
      </w:r>
      <w:r>
        <w:rPr>
          <w:rFonts w:ascii="Arial" w:hAnsi="Arial" w:cs="Arial"/>
        </w:rPr>
      </w:r>
    </w:p>
    <w:p w14:paraId="737357A2" w14:textId="77777777">
      <w:pPr>
        <w:pBdr/>
        <w:spacing/>
        <w:ind/>
        <w:jc w:val="both"/>
        <w:rPr>
          <w:rFonts w:ascii="Arial" w:hAnsi="Arial" w:cs="Arial"/>
        </w:rPr>
      </w:pPr>
      <w:r>
        <w:rPr>
          <w:rFonts w:ascii="Arial" w:hAnsi="Arial" w:cs="Arial"/>
          <w:b/>
        </w:rPr>
        <w:t xml:space="preserve">27.1.3.</w:t>
      </w:r>
      <w:r>
        <w:rPr>
          <w:rFonts w:ascii="Arial" w:hAnsi="Arial" w:cs="Arial"/>
        </w:rPr>
        <w:t xml:space="preserve"> Os reajustes deverão ser precedidos de solicitação do contratado, acompanhada de memorial do cálculo.</w:t>
      </w:r>
      <w:r>
        <w:rPr>
          <w:rFonts w:ascii="Arial" w:hAnsi="Arial" w:cs="Arial"/>
        </w:rPr>
      </w:r>
    </w:p>
    <w:p w14:paraId="2AF5E0DB" w14:textId="77777777">
      <w:pPr>
        <w:pBdr/>
        <w:spacing/>
        <w:ind/>
        <w:jc w:val="both"/>
        <w:rPr>
          <w:rFonts w:ascii="Arial" w:hAnsi="Arial" w:cs="Arial"/>
          <w:b/>
        </w:rPr>
      </w:pPr>
      <w:r>
        <w:rPr>
          <w:rFonts w:ascii="Arial" w:hAnsi="Arial" w:cs="Arial"/>
          <w:b/>
        </w:rPr>
      </w:r>
      <w:r>
        <w:rPr>
          <w:rFonts w:ascii="Arial" w:hAnsi="Arial" w:cs="Arial"/>
          <w:b/>
        </w:rPr>
      </w:r>
    </w:p>
    <w:p w14:paraId="35C006E7" w14:textId="77777777">
      <w:pPr>
        <w:pBdr/>
        <w:spacing/>
        <w:ind/>
        <w:jc w:val="both"/>
        <w:rPr>
          <w:rFonts w:ascii="Arial" w:hAnsi="Arial" w:cs="Arial"/>
        </w:rPr>
      </w:pPr>
      <w:r>
        <w:rPr>
          <w:rFonts w:ascii="Arial" w:hAnsi="Arial" w:cs="Arial"/>
          <w:b/>
        </w:rPr>
        <w:t xml:space="preserve">27.1.4.</w:t>
      </w:r>
      <w:r>
        <w:rPr>
          <w:rFonts w:ascii="Arial" w:hAnsi="Arial" w:cs="Arial"/>
        </w:rPr>
        <w:t xml:space="preserve"> No </w:t>
      </w:r>
      <w:r>
        <w:rPr>
          <w:rFonts w:ascii="Arial" w:hAnsi="Arial" w:cs="Arial"/>
        </w:rPr>
        <w:t xml:space="preserve">caso de atraso ou não divulgação do(s) índice (s) de reajustamento, o contratante pagará ao contratado a importância calculada pela última variação conhecida, liquidando a diferença correspondente tão logo seja(m) divulgado(s) o(s) índice(s) definitivo(s).</w:t>
      </w:r>
      <w:r>
        <w:rPr>
          <w:rFonts w:ascii="Arial" w:hAnsi="Arial" w:cs="Arial"/>
        </w:rPr>
      </w:r>
    </w:p>
    <w:p w14:paraId="22D5A17D" w14:textId="77777777">
      <w:pPr>
        <w:pBdr/>
        <w:spacing/>
        <w:ind/>
        <w:jc w:val="both"/>
        <w:rPr>
          <w:rFonts w:ascii="Arial" w:hAnsi="Arial" w:cs="Arial"/>
        </w:rPr>
      </w:pPr>
      <w:r>
        <w:rPr>
          <w:rFonts w:ascii="Arial" w:hAnsi="Arial" w:cs="Arial"/>
        </w:rPr>
      </w:r>
      <w:r>
        <w:rPr>
          <w:rFonts w:ascii="Arial" w:hAnsi="Arial" w:cs="Arial"/>
        </w:rPr>
      </w:r>
    </w:p>
    <w:p w14:paraId="78A0FC84" w14:textId="77777777">
      <w:pPr>
        <w:pBdr/>
        <w:spacing/>
        <w:ind/>
        <w:jc w:val="both"/>
        <w:rPr>
          <w:rFonts w:ascii="Arial" w:hAnsi="Arial" w:cs="Arial"/>
        </w:rPr>
      </w:pPr>
      <w:r>
        <w:rPr>
          <w:rFonts w:ascii="Arial" w:hAnsi="Arial" w:cs="Arial"/>
          <w:b/>
        </w:rPr>
        <w:t xml:space="preserve">27.1.5.</w:t>
      </w:r>
      <w:r>
        <w:rPr>
          <w:rFonts w:ascii="Arial" w:hAnsi="Arial" w:cs="Arial"/>
        </w:rPr>
        <w:t xml:space="preserve"> Caso o(s) índice(s) estabelecido(s) para reajustamento venha(m) a ser extinto(s) ou de qualquer forma não possa(m) mais ser utilizado(s), será(ão) adotado(s), em substituição, o(s) que vier(em) a ser determinado(s) pela legislação então em vigor.</w:t>
      </w:r>
      <w:r>
        <w:rPr>
          <w:rFonts w:ascii="Arial" w:hAnsi="Arial" w:cs="Arial"/>
        </w:rPr>
      </w:r>
    </w:p>
    <w:p w14:paraId="5304586D" w14:textId="77777777">
      <w:pPr>
        <w:pBdr/>
        <w:spacing/>
        <w:ind/>
        <w:jc w:val="both"/>
        <w:rPr>
          <w:rFonts w:ascii="Arial" w:hAnsi="Arial" w:cs="Arial"/>
        </w:rPr>
      </w:pPr>
      <w:r>
        <w:rPr>
          <w:rFonts w:ascii="Arial" w:hAnsi="Arial" w:cs="Arial"/>
        </w:rPr>
      </w:r>
      <w:r>
        <w:rPr>
          <w:rFonts w:ascii="Arial" w:hAnsi="Arial" w:cs="Arial"/>
        </w:rPr>
      </w:r>
    </w:p>
    <w:p w14:paraId="68C12CD4" w14:textId="77777777">
      <w:pPr>
        <w:pBdr/>
        <w:spacing/>
        <w:ind/>
        <w:jc w:val="both"/>
        <w:rPr>
          <w:rFonts w:ascii="Arial" w:hAnsi="Arial" w:cs="Arial"/>
        </w:rPr>
      </w:pPr>
      <w:r>
        <w:rPr>
          <w:rFonts w:ascii="Arial" w:hAnsi="Arial" w:cs="Arial"/>
          <w:b/>
        </w:rPr>
        <w:t xml:space="preserve">27.1.6.</w:t>
      </w:r>
      <w:r>
        <w:rPr>
          <w:rFonts w:ascii="Arial" w:hAnsi="Arial" w:cs="Arial"/>
        </w:rPr>
        <w:t xml:space="preserve"> Na ausência de previsão legal quanto ao índice substituto, as partes elegerão novo índice oficial, para reajustamento do preço do valor remanescente, por meio de termo aditivo.</w:t>
      </w:r>
      <w:r>
        <w:rPr>
          <w:rFonts w:ascii="Arial" w:hAnsi="Arial" w:cs="Arial"/>
        </w:rPr>
      </w:r>
    </w:p>
    <w:p w14:paraId="55E1BC0C" w14:textId="77777777">
      <w:pPr>
        <w:pBdr/>
        <w:spacing/>
        <w:ind/>
        <w:jc w:val="both"/>
        <w:rPr>
          <w:rFonts w:ascii="Arial" w:hAnsi="Arial" w:cs="Arial"/>
        </w:rPr>
      </w:pPr>
      <w:r>
        <w:rPr>
          <w:rFonts w:ascii="Arial" w:hAnsi="Arial" w:cs="Arial"/>
        </w:rPr>
      </w:r>
      <w:r>
        <w:rPr>
          <w:rFonts w:ascii="Arial" w:hAnsi="Arial" w:cs="Arial"/>
        </w:rPr>
      </w:r>
    </w:p>
    <w:p w14:paraId="4FF7FBF0" w14:textId="77777777">
      <w:pPr>
        <w:pBdr/>
        <w:spacing/>
        <w:ind/>
        <w:jc w:val="both"/>
        <w:rPr>
          <w:rFonts w:ascii="Arial" w:hAnsi="Arial" w:cs="Arial"/>
        </w:rPr>
      </w:pPr>
      <w:r>
        <w:rPr>
          <w:rFonts w:ascii="Arial" w:hAnsi="Arial" w:cs="Arial"/>
          <w:b/>
        </w:rPr>
        <w:t xml:space="preserve">27.1.7</w:t>
      </w:r>
      <w:r>
        <w:rPr>
          <w:rFonts w:ascii="Arial" w:hAnsi="Arial" w:cs="Arial"/>
        </w:rPr>
        <w:t xml:space="preserve">. O reajuste será realizado por apostilamento.</w:t>
      </w:r>
      <w:r>
        <w:rPr>
          <w:rFonts w:ascii="Arial" w:hAnsi="Arial" w:cs="Arial"/>
        </w:rPr>
      </w:r>
    </w:p>
    <w:p w14:paraId="77890F62" w14:textId="77777777">
      <w:pPr>
        <w:pBdr/>
        <w:spacing/>
        <w:ind/>
        <w:jc w:val="both"/>
        <w:rPr>
          <w:rFonts w:ascii="Arial" w:hAnsi="Arial" w:cs="Arial"/>
        </w:rPr>
      </w:pPr>
      <w:r>
        <w:rPr>
          <w:rFonts w:ascii="Arial" w:hAnsi="Arial" w:cs="Arial"/>
        </w:rPr>
      </w:r>
      <w:r>
        <w:rPr>
          <w:rFonts w:ascii="Arial" w:hAnsi="Arial" w:cs="Arial"/>
        </w:rPr>
      </w:r>
    </w:p>
    <w:p w14:paraId="602023B4" w14:textId="77777777">
      <w:pPr>
        <w:pBdr/>
        <w:spacing/>
        <w:ind/>
        <w:jc w:val="both"/>
        <w:rPr>
          <w:rFonts w:ascii="Arial" w:hAnsi="Arial" w:cs="Arial"/>
          <w:b/>
          <w:color w:val="000000"/>
        </w:rPr>
      </w:pPr>
      <w:r>
        <w:rPr>
          <w:rFonts w:ascii="Arial" w:hAnsi="Arial" w:cs="Arial"/>
          <w:b/>
        </w:rPr>
        <w:t xml:space="preserve">27.2. </w:t>
      </w:r>
      <w:r>
        <w:rPr>
          <w:rFonts w:ascii="Arial" w:hAnsi="Arial" w:cs="Arial"/>
          <w:b/>
          <w:color w:val="000000"/>
        </w:rPr>
        <w:t xml:space="preserve">DA REVISÃO:</w:t>
      </w:r>
      <w:r>
        <w:rPr>
          <w:rFonts w:ascii="Arial" w:hAnsi="Arial" w:cs="Arial"/>
          <w:b/>
          <w:color w:val="000000"/>
        </w:rPr>
      </w:r>
    </w:p>
    <w:p w14:paraId="4C068908" w14:textId="77777777">
      <w:pPr>
        <w:pBdr/>
        <w:spacing/>
        <w:ind/>
        <w:jc w:val="both"/>
        <w:rPr>
          <w:rFonts w:ascii="Arial" w:hAnsi="Arial" w:cs="Arial"/>
          <w:color w:val="000000"/>
        </w:rPr>
      </w:pPr>
      <w:r>
        <w:rPr>
          <w:rFonts w:ascii="Arial" w:hAnsi="Arial" w:cs="Arial"/>
          <w:b/>
          <w:color w:val="000000"/>
        </w:rPr>
        <w:t xml:space="preserve">27.2.1.</w:t>
      </w:r>
      <w:r>
        <w:rPr>
          <w:rFonts w:ascii="Arial" w:hAnsi="Arial" w:cs="Arial"/>
          <w:color w:val="000000"/>
        </w:rPr>
        <w:t xml:space="preserve"> O contrato poderá ser alterado na forma do artigo 124 e seguintes da Lei nº 14.133/2021 e Decreto Municipal nº 11.685/2023.</w:t>
      </w:r>
      <w:r>
        <w:rPr>
          <w:rFonts w:ascii="Arial" w:hAnsi="Arial" w:cs="Arial"/>
          <w:color w:val="000000"/>
        </w:rPr>
      </w:r>
    </w:p>
    <w:p w14:paraId="31C3CD2D"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3FA305F3" w14:textId="77777777">
      <w:pPr>
        <w:pBdr/>
        <w:spacing/>
        <w:ind/>
        <w:jc w:val="both"/>
        <w:rPr>
          <w:rFonts w:ascii="Arial" w:hAnsi="Arial" w:cs="Arial"/>
          <w:color w:val="000000"/>
        </w:rPr>
      </w:pPr>
      <w:r>
        <w:rPr>
          <w:rFonts w:ascii="Arial" w:hAnsi="Arial" w:cs="Arial"/>
          <w:b/>
          <w:color w:val="000000"/>
        </w:rPr>
        <w:t xml:space="preserve">27.2.2.</w:t>
      </w:r>
      <w:r>
        <w:rPr>
          <w:rFonts w:ascii="Arial" w:hAnsi="Arial" w:cs="Arial"/>
          <w:color w:val="000000"/>
        </w:rPr>
        <w:t xml:space="preserve"> A contratada é obrigada a aceitar, nas mesmas condições contratuais, os acréscimos ou supressões que se fizerem necessários, até o limite de 25% (vinte e cinco por cento) do valor inicial atualizado do contrato.</w:t>
      </w:r>
      <w:r>
        <w:rPr>
          <w:rFonts w:ascii="Arial" w:hAnsi="Arial" w:cs="Arial"/>
          <w:color w:val="000000"/>
        </w:rPr>
      </w:r>
    </w:p>
    <w:p w14:paraId="6C280381"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561B6FF6" w14:textId="77777777">
      <w:pPr>
        <w:pBdr/>
        <w:spacing/>
        <w:ind/>
        <w:jc w:val="both"/>
        <w:rPr>
          <w:rFonts w:ascii="Arial" w:hAnsi="Arial" w:cs="Arial"/>
          <w:color w:val="000000"/>
        </w:rPr>
      </w:pPr>
      <w:r>
        <w:rPr>
          <w:rFonts w:ascii="Arial" w:hAnsi="Arial" w:cs="Arial"/>
          <w:b/>
          <w:color w:val="000000"/>
        </w:rPr>
        <w:t xml:space="preserve">27.2.3.</w:t>
      </w:r>
      <w:r>
        <w:rPr>
          <w:rFonts w:ascii="Arial" w:hAnsi="Arial" w:cs="Arial"/>
          <w:color w:val="000000"/>
        </w:rPr>
        <w:t xml:space="preserve"> Registros que não caracterizam alteração do contrato podem ser realizados por simples apostila, dispensada a celebração de termo aditivo, na forma do artigo 136 da Lei nº 14.133, de 2021.</w:t>
      </w:r>
      <w:r>
        <w:rPr>
          <w:rFonts w:ascii="Arial" w:hAnsi="Arial" w:cs="Arial"/>
          <w:color w:val="000000"/>
        </w:rPr>
      </w:r>
    </w:p>
    <w:p w14:paraId="75A31332"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0C245569" w14:textId="77777777">
      <w:pPr>
        <w:pBdr/>
        <w:spacing/>
        <w:ind/>
        <w:jc w:val="both"/>
        <w:rPr>
          <w:rFonts w:ascii="Arial" w:hAnsi="Arial" w:cs="Arial"/>
          <w:color w:val="000000"/>
        </w:rPr>
      </w:pPr>
      <w:r>
        <w:rPr>
          <w:rFonts w:ascii="Arial" w:hAnsi="Arial" w:cs="Arial"/>
          <w:b/>
          <w:color w:val="000000"/>
        </w:rPr>
        <w:t xml:space="preserve">27.2.4.</w:t>
      </w:r>
      <w:r>
        <w:rPr>
          <w:rFonts w:ascii="Arial" w:hAnsi="Arial" w:cs="Arial"/>
          <w:color w:val="000000"/>
        </w:rPr>
        <w:t xml:space="preserve"> Durante a vigência do contrato</w:t>
      </w:r>
      <w:r>
        <w:rPr>
          <w:rFonts w:ascii="Arial" w:hAnsi="Arial" w:cs="Arial"/>
          <w:color w:val="000000"/>
        </w:rPr>
        <w:t xml:space="preserve"> a contratada poderá solicitar a revisão dos preços para manter o equilíbrio econômico-financeiro obtido na licitação, mediante a comprovação dos fatos previstos no artigo 124, inciso II, alínea “d”, da Lei nº 14.133/2021, conforme cláusula décima primeira</w:t>
      </w:r>
      <w:r>
        <w:rPr>
          <w:rFonts w:ascii="Arial" w:hAnsi="Arial" w:cs="Arial"/>
          <w:color w:val="000000"/>
        </w:rPr>
      </w:r>
    </w:p>
    <w:p w14:paraId="68ED5484"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73D02EB5" w14:textId="77777777">
      <w:pPr>
        <w:pBdr/>
        <w:spacing/>
        <w:ind/>
        <w:jc w:val="both"/>
        <w:rPr>
          <w:rFonts w:ascii="Arial" w:hAnsi="Arial" w:cs="Arial"/>
          <w:color w:val="000000"/>
        </w:rPr>
      </w:pPr>
      <w:r>
        <w:rPr>
          <w:rFonts w:ascii="Arial" w:hAnsi="Arial" w:cs="Arial"/>
          <w:b/>
          <w:color w:val="000000"/>
        </w:rPr>
        <w:t xml:space="preserve">27.2.5.</w:t>
      </w:r>
      <w:r>
        <w:rPr>
          <w:rFonts w:ascii="Arial" w:hAnsi="Arial" w:cs="Arial"/>
          <w:color w:val="000000"/>
        </w:rPr>
        <w:t xml:space="preserve"> Os preços registrados poderão ser revisad</w:t>
      </w:r>
      <w:r>
        <w:rPr>
          <w:rFonts w:ascii="Arial" w:hAnsi="Arial" w:cs="Arial"/>
          <w:color w:val="000000"/>
        </w:rPr>
        <w:t xml:space="preserve">os para reestabelecer o equilíbrio econômico-financeiro quando, por motivo superveniente, restarem inviáveis de serem praticados em razão de força maior, caso fortuito, fato do príncipe ou fatos imprevisíveis ou previsíveis de consequências incalculáveis. </w:t>
      </w:r>
      <w:r>
        <w:rPr>
          <w:rFonts w:ascii="Arial" w:hAnsi="Arial" w:cs="Arial"/>
          <w:color w:val="000000"/>
        </w:rPr>
      </w:r>
    </w:p>
    <w:p w14:paraId="149CBF08"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5C595153" w14:textId="77777777">
      <w:pPr>
        <w:pBdr/>
        <w:spacing/>
        <w:ind/>
        <w:jc w:val="both"/>
        <w:rPr>
          <w:rFonts w:ascii="Arial" w:hAnsi="Arial" w:cs="Arial"/>
          <w:color w:val="000000"/>
        </w:rPr>
      </w:pPr>
      <w:r>
        <w:rPr>
          <w:rFonts w:ascii="Arial" w:hAnsi="Arial" w:cs="Arial"/>
          <w:b/>
          <w:color w:val="000000"/>
        </w:rPr>
        <w:t xml:space="preserve">27.2.6.</w:t>
      </w:r>
      <w:r>
        <w:rPr>
          <w:rFonts w:ascii="Arial" w:hAnsi="Arial" w:cs="Arial"/>
          <w:color w:val="000000"/>
        </w:rPr>
        <w:t xml:space="preserve"> Os fornecedores que não aceitarem reduzir seus preços aos valores praticados pelo mercado serão liberados do compromisso assumido, sem aplicação de penalidade. </w:t>
      </w:r>
      <w:r>
        <w:rPr>
          <w:rFonts w:ascii="Arial" w:hAnsi="Arial" w:cs="Arial"/>
          <w:color w:val="000000"/>
        </w:rPr>
      </w:r>
    </w:p>
    <w:p w14:paraId="6991B890"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16625D3B" w14:textId="77777777">
      <w:pPr>
        <w:pBdr/>
        <w:spacing/>
        <w:ind/>
        <w:jc w:val="both"/>
        <w:rPr>
          <w:rFonts w:ascii="Arial" w:hAnsi="Arial" w:cs="Arial"/>
          <w:color w:val="000000"/>
        </w:rPr>
      </w:pPr>
      <w:r>
        <w:rPr>
          <w:rFonts w:ascii="Arial" w:hAnsi="Arial" w:cs="Arial"/>
          <w:b/>
          <w:color w:val="000000"/>
        </w:rPr>
        <w:t xml:space="preserve">27.2.7.</w:t>
      </w:r>
      <w:r>
        <w:rPr>
          <w:rFonts w:ascii="Arial" w:hAnsi="Arial" w:cs="Arial"/>
          <w:color w:val="000000"/>
        </w:rPr>
        <w:t xml:space="preserve"> O pedido de revisão de preços será processado e julgado pelo Órgão Gerenciador. </w:t>
      </w:r>
      <w:r>
        <w:rPr>
          <w:rFonts w:ascii="Arial" w:hAnsi="Arial" w:cs="Arial"/>
          <w:color w:val="000000"/>
        </w:rPr>
      </w:r>
    </w:p>
    <w:p w14:paraId="569F7002"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3D98D2D2" w14:textId="77777777">
      <w:pPr>
        <w:pBdr/>
        <w:spacing/>
        <w:ind/>
        <w:jc w:val="both"/>
        <w:rPr>
          <w:rFonts w:ascii="Arial" w:hAnsi="Arial" w:cs="Arial"/>
          <w:color w:val="000000"/>
        </w:rPr>
      </w:pPr>
      <w:r>
        <w:rPr>
          <w:rFonts w:ascii="Arial" w:hAnsi="Arial" w:cs="Arial"/>
          <w:b/>
          <w:color w:val="000000"/>
        </w:rPr>
        <w:t xml:space="preserve">27.2.8. </w:t>
      </w:r>
      <w:r>
        <w:rPr>
          <w:rFonts w:ascii="Arial" w:hAnsi="Arial" w:cs="Arial"/>
          <w:color w:val="000000"/>
        </w:rPr>
        <w:t xml:space="preserve">Nos casos em que a majoração do preço for pleiteada pela DETENTORA, o ÓRGÃO GERENCIADOR analisará a solicitação de revi</w:t>
      </w:r>
      <w:r>
        <w:rPr>
          <w:rFonts w:ascii="Arial" w:hAnsi="Arial" w:cs="Arial"/>
          <w:color w:val="000000"/>
        </w:rPr>
        <w:t xml:space="preserve">são do preço registrado a partir da fundamentação e do conjunto probatório apresentados, em cotejo com pesquisa de mercado atualizada e diligências que se mostrem necessárias para avaliação do pedido, mantendo a economia obtida no procedimento licitatório.</w:t>
      </w:r>
      <w:r>
        <w:rPr>
          <w:rFonts w:ascii="Arial" w:hAnsi="Arial" w:cs="Arial"/>
          <w:color w:val="000000"/>
        </w:rPr>
      </w:r>
    </w:p>
    <w:p w14:paraId="2ADC90D1"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6AAC6330" w14:textId="77777777">
      <w:pPr>
        <w:pBdr/>
        <w:spacing/>
        <w:ind/>
        <w:jc w:val="both"/>
        <w:rPr>
          <w:rFonts w:ascii="Arial" w:hAnsi="Arial" w:cs="Arial"/>
          <w:color w:val="000000"/>
        </w:rPr>
      </w:pPr>
      <w:r>
        <w:rPr>
          <w:rFonts w:ascii="Arial" w:hAnsi="Arial" w:cs="Arial"/>
          <w:b/>
          <w:color w:val="000000"/>
        </w:rPr>
        <w:t xml:space="preserve">27.2.9.</w:t>
      </w:r>
      <w:r>
        <w:rPr>
          <w:rFonts w:ascii="Arial" w:hAnsi="Arial" w:cs="Arial"/>
          <w:color w:val="000000"/>
        </w:rPr>
        <w:t xml:space="preserve"> </w:t>
      </w:r>
      <w:r>
        <w:rPr>
          <w:rFonts w:ascii="Arial" w:hAnsi="Arial" w:cs="Arial"/>
          <w:color w:val="000000"/>
          <w:u w:val="single"/>
        </w:rPr>
        <w:t xml:space="preserve">Após 30 (trinta) dias do aceite do requerimento de revisão pelo ÓRGÃO GERENCIADOR, e sem manifestação conclusiva deste, poderá a DETENTORA comunicar formalmente ao ÓRGÃO GERENCIADOR a recusa de novos pedidos de entrega de bens ou de prestação de serviços.</w:t>
      </w:r>
      <w:r>
        <w:rPr>
          <w:rFonts w:ascii="Arial" w:hAnsi="Arial" w:cs="Arial"/>
          <w:color w:val="000000"/>
        </w:rPr>
      </w:r>
    </w:p>
    <w:p w14:paraId="72660A4B"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4FA5C1A0" w14:textId="77777777">
      <w:pPr>
        <w:pBdr/>
        <w:spacing/>
        <w:ind/>
        <w:jc w:val="both"/>
        <w:rPr>
          <w:rFonts w:ascii="Arial" w:hAnsi="Arial" w:cs="Arial"/>
          <w:color w:val="000000"/>
        </w:rPr>
      </w:pPr>
      <w:r>
        <w:rPr>
          <w:rFonts w:ascii="Arial" w:hAnsi="Arial" w:cs="Arial"/>
          <w:b/>
          <w:color w:val="000000"/>
        </w:rPr>
        <w:t xml:space="preserve">27.2.10.</w:t>
      </w:r>
      <w:r>
        <w:rPr>
          <w:rFonts w:ascii="Arial" w:hAnsi="Arial" w:cs="Arial"/>
          <w:color w:val="000000"/>
        </w:rPr>
        <w:t xml:space="preserve"> Durante este prazo de 30 dias, a DETENTORA fica obrigado a manter as condições pactuadas quando da assinatura da ata.</w:t>
      </w:r>
      <w:r>
        <w:rPr>
          <w:rFonts w:ascii="Arial" w:hAnsi="Arial" w:cs="Arial"/>
          <w:color w:val="000000"/>
        </w:rPr>
      </w:r>
    </w:p>
    <w:p w14:paraId="250203FF"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5960248D" w14:textId="77777777">
      <w:pPr>
        <w:pBdr/>
        <w:spacing/>
        <w:ind/>
        <w:jc w:val="both"/>
        <w:rPr>
          <w:rFonts w:ascii="Arial" w:hAnsi="Arial" w:cs="Arial"/>
          <w:color w:val="000000"/>
        </w:rPr>
      </w:pPr>
      <w:r>
        <w:rPr>
          <w:rFonts w:ascii="Arial" w:hAnsi="Arial" w:cs="Arial"/>
          <w:b/>
          <w:color w:val="000000"/>
        </w:rPr>
        <w:t xml:space="preserve">27.2.11.</w:t>
      </w:r>
      <w:r>
        <w:rPr>
          <w:rFonts w:ascii="Arial" w:hAnsi="Arial" w:cs="Arial"/>
          <w:color w:val="000000"/>
        </w:rPr>
        <w:t xml:space="preserve"> Ocorrendo umas das hipóteses previstas na alínea “d” do inciso II do artigo 124 da Lei n. 14</w:t>
      </w:r>
      <w:r>
        <w:rPr>
          <w:rFonts w:ascii="Arial" w:hAnsi="Arial" w:cs="Arial"/>
          <w:color w:val="000000"/>
        </w:rPr>
        <w:t xml:space="preserve">.133/2021, poderá haver a repactuação, reajuste, revisão ou realinhamento, onde deverão ser precedidos de demonstração analítica do aumento dos custos, bem como análise Técnico Contábil do setor Financeiro e Jurídica da Assessoria Jurídica deste Município.</w:t>
      </w:r>
      <w:r>
        <w:rPr>
          <w:rFonts w:ascii="Arial" w:hAnsi="Arial" w:cs="Arial"/>
          <w:color w:val="000000"/>
        </w:rPr>
      </w:r>
    </w:p>
    <w:p w14:paraId="58672A09"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08C47BEE" w14:textId="77777777">
      <w:pPr>
        <w:pBdr/>
        <w:spacing/>
        <w:ind/>
        <w:jc w:val="both"/>
        <w:rPr>
          <w:rFonts w:ascii="Arial" w:hAnsi="Arial" w:cs="Arial"/>
          <w:color w:val="000000"/>
        </w:rPr>
      </w:pPr>
      <w:r>
        <w:rPr>
          <w:rFonts w:ascii="Arial" w:hAnsi="Arial" w:cs="Arial"/>
          <w:b/>
          <w:color w:val="000000"/>
        </w:rPr>
        <w:t xml:space="preserve">27.2.11.1.</w:t>
      </w:r>
      <w:r>
        <w:rPr>
          <w:rFonts w:ascii="Arial" w:hAnsi="Arial" w:cs="Arial"/>
          <w:color w:val="000000"/>
        </w:rPr>
        <w:t xml:space="preserve"> O prazo para resposta ao pedido de repactuação de preços, quando for o caso, será de até 30 (trinta) úteis dias prorrogáveis por igual período. (Art. 92 Inciso X da Lei 14.133/2021).</w:t>
      </w:r>
      <w:r>
        <w:rPr>
          <w:rFonts w:ascii="Arial" w:hAnsi="Arial" w:cs="Arial"/>
          <w:color w:val="000000"/>
        </w:rPr>
      </w:r>
    </w:p>
    <w:p w14:paraId="74D31912"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6175CFE8" w14:textId="77777777">
      <w:pPr>
        <w:pBdr/>
        <w:spacing/>
        <w:ind/>
        <w:jc w:val="both"/>
        <w:rPr>
          <w:rFonts w:ascii="Arial" w:hAnsi="Arial" w:cs="Arial"/>
          <w:color w:val="000000"/>
        </w:rPr>
      </w:pPr>
      <w:r>
        <w:rPr>
          <w:rFonts w:ascii="Arial" w:hAnsi="Arial" w:cs="Arial"/>
          <w:b/>
          <w:color w:val="000000"/>
        </w:rPr>
        <w:t xml:space="preserve">27.2.11.2.</w:t>
      </w:r>
      <w:r>
        <w:rPr>
          <w:rFonts w:ascii="Arial" w:hAnsi="Arial" w:cs="Arial"/>
          <w:color w:val="000000"/>
        </w:rPr>
        <w:t xml:space="preserve"> O prazo para resposta ao pedido de restabelecimento do equilíbrio econômico-financeiro, quando for o caso¸ será de até 30 (trinta) úteis dias prorrogáveis por igual período. (Art. 92 Inciso XI da Lei 14.133/2021).</w:t>
      </w:r>
      <w:r>
        <w:rPr>
          <w:rFonts w:ascii="Arial" w:hAnsi="Arial" w:cs="Arial"/>
          <w:color w:val="000000"/>
        </w:rPr>
      </w:r>
    </w:p>
    <w:p w14:paraId="7FB5E798" w14:textId="77777777">
      <w:pPr>
        <w:pBdr/>
        <w:spacing/>
        <w:ind/>
        <w:jc w:val="both"/>
        <w:rPr>
          <w:rFonts w:ascii="Arial" w:hAnsi="Arial" w:cs="Arial"/>
        </w:rPr>
      </w:pPr>
      <w:r>
        <w:rPr>
          <w:rFonts w:ascii="Arial" w:hAnsi="Arial" w:cs="Arial"/>
        </w:rPr>
      </w:r>
      <w:r>
        <w:rPr>
          <w:rFonts w:ascii="Arial" w:hAnsi="Arial" w:cs="Arial"/>
        </w:rPr>
      </w:r>
    </w:p>
    <w:p w14:paraId="0082BD24" w14:textId="77777777">
      <w:pPr>
        <w:pStyle w:val="882"/>
        <w:pBdr/>
        <w:spacing w:after="0" w:before="0"/>
        <w:ind/>
        <w:rPr>
          <w:rFonts w:eastAsia="SimSun"/>
          <w:sz w:val="20"/>
          <w:szCs w:val="20"/>
          <w:lang w:val="pt-BR"/>
        </w:rPr>
      </w:pPr>
      <w:r/>
      <w:bookmarkStart w:id="37" w:name="__RefHeading___Toc190782031"/>
      <w:r/>
      <w:bookmarkEnd w:id="37"/>
      <w:r>
        <w:rPr>
          <w:rFonts w:eastAsia="SimSun"/>
          <w:sz w:val="20"/>
          <w:szCs w:val="20"/>
          <w:lang w:val="pt-BR"/>
        </w:rPr>
        <w:t xml:space="preserve">28. DA GARANTIA DO OBJETO:</w:t>
      </w:r>
      <w:r>
        <w:rPr>
          <w:rFonts w:eastAsia="SimSun"/>
          <w:sz w:val="20"/>
          <w:szCs w:val="20"/>
          <w:lang w:val="pt-BR"/>
        </w:rPr>
      </w:r>
    </w:p>
    <w:p w14:paraId="329EB890" w14:textId="77777777">
      <w:pPr>
        <w:pBdr/>
        <w:spacing/>
        <w:ind/>
        <w:rPr>
          <w:rFonts w:ascii="Arial" w:hAnsi="Arial" w:eastAsia="SimSun" w:cs="Arial"/>
        </w:rPr>
      </w:pPr>
      <w:r>
        <w:rPr>
          <w:rFonts w:ascii="Arial" w:hAnsi="Arial" w:eastAsia="SimSun" w:cs="Arial"/>
        </w:rPr>
      </w:r>
      <w:r>
        <w:rPr>
          <w:rFonts w:ascii="Arial" w:hAnsi="Arial" w:eastAsia="SimSun" w:cs="Arial"/>
        </w:rPr>
      </w:r>
    </w:p>
    <w:p w14:paraId="0E1B45C8" w14:textId="77777777">
      <w:pPr>
        <w:pStyle w:val="1030"/>
        <w:pBdr/>
        <w:spacing w:line="360" w:lineRule="auto"/>
        <w:ind/>
        <w:jc w:val="both"/>
        <w:rPr>
          <w:rFonts w:ascii="Arial" w:hAnsi="Arial" w:cs="Arial"/>
        </w:rPr>
      </w:pPr>
      <w:r>
        <w:rPr>
          <w:rFonts w:ascii="Arial" w:hAnsi="Arial" w:cs="Arial"/>
        </w:rPr>
        <w:t xml:space="preserve">4.6.1. A contratada será integralmente responsável pela qualidade, regularidade e conformidade dos serviços prestados, respondendo por eventuais falhas, omissões ou inadequações, nos termos dos arts. 117, 156 e 159 da Lei nº 14.133/2021.</w:t>
      </w:r>
      <w:r>
        <w:rPr>
          <w:rFonts w:ascii="Arial" w:hAnsi="Arial" w:cs="Arial"/>
        </w:rPr>
      </w:r>
    </w:p>
    <w:p w14:paraId="4750C3FD" w14:textId="77777777">
      <w:pPr>
        <w:pStyle w:val="1030"/>
        <w:pBdr/>
        <w:spacing w:line="360" w:lineRule="auto"/>
        <w:ind/>
        <w:jc w:val="both"/>
        <w:rPr>
          <w:rFonts w:ascii="Arial" w:hAnsi="Arial" w:cs="Arial"/>
        </w:rPr>
      </w:pPr>
      <w:r>
        <w:rPr>
          <w:rFonts w:ascii="Arial" w:hAnsi="Arial" w:cs="Arial"/>
        </w:rPr>
        <w:t xml:space="preserve">4.6.2. Havendo descumprimento das obrigações contratuais, a Administração poderá exigir a imediata correção das falhas, sem ônus adicional, e aplicar as penalidades cabíveis previstas na legislação e no contrato.</w:t>
      </w:r>
      <w:r>
        <w:rPr>
          <w:rFonts w:ascii="Arial" w:hAnsi="Arial" w:cs="Arial"/>
        </w:rPr>
      </w:r>
    </w:p>
    <w:p w14:paraId="007B9732" w14:textId="77777777">
      <w:pPr>
        <w:pBdr/>
        <w:spacing/>
        <w:ind/>
        <w:jc w:val="both"/>
        <w:rPr>
          <w:rFonts w:ascii="Arial" w:hAnsi="Arial" w:cs="Arial"/>
          <w:b/>
        </w:rPr>
      </w:pPr>
      <w:r>
        <w:rPr>
          <w:rFonts w:ascii="Arial" w:hAnsi="Arial" w:cs="Arial"/>
          <w:b/>
          <w:color w:val="000000"/>
        </w:rPr>
        <w:t xml:space="preserve">28.</w:t>
      </w:r>
      <w:r>
        <w:rPr>
          <w:rFonts w:ascii="Arial" w:hAnsi="Arial" w:cs="Arial"/>
          <w:b/>
        </w:rPr>
        <w:t xml:space="preserve">2.</w:t>
      </w:r>
      <w:r>
        <w:rPr>
          <w:rFonts w:ascii="Arial" w:hAnsi="Arial" w:cs="Arial"/>
          <w:b/>
        </w:rPr>
        <w:tab/>
        <w:t xml:space="preserve">Garantia Contratual:</w:t>
      </w:r>
      <w:r>
        <w:rPr>
          <w:rFonts w:ascii="Arial" w:hAnsi="Arial" w:cs="Arial"/>
          <w:b/>
        </w:rPr>
      </w:r>
    </w:p>
    <w:p w14:paraId="2063FF88" w14:textId="77777777">
      <w:pPr>
        <w:pBdr/>
        <w:spacing/>
        <w:ind/>
        <w:jc w:val="both"/>
        <w:rPr>
          <w:rFonts w:ascii="Arial" w:hAnsi="Arial" w:cs="Arial"/>
          <w:b/>
        </w:rPr>
      </w:pPr>
      <w:r>
        <w:rPr>
          <w:rFonts w:ascii="Arial" w:hAnsi="Arial" w:cs="Arial"/>
          <w:b/>
        </w:rPr>
      </w:r>
      <w:r>
        <w:rPr>
          <w:rFonts w:ascii="Arial" w:hAnsi="Arial" w:cs="Arial"/>
          <w:b/>
        </w:rPr>
      </w:r>
    </w:p>
    <w:p w14:paraId="374EB7E2" w14:textId="77777777">
      <w:pPr>
        <w:pBdr/>
        <w:spacing/>
        <w:ind/>
        <w:jc w:val="both"/>
        <w:rPr>
          <w:rFonts w:ascii="Arial" w:hAnsi="Arial" w:cs="Arial"/>
        </w:rPr>
      </w:pPr>
      <w:r>
        <w:rPr>
          <w:rFonts w:ascii="Arial" w:hAnsi="Arial" w:cs="Arial"/>
          <w:b/>
        </w:rPr>
        <w:t xml:space="preserve">28.2.1. </w:t>
      </w:r>
      <w:r>
        <w:rPr>
          <w:rFonts w:ascii="Arial" w:hAnsi="Arial" w:cs="Arial"/>
        </w:rPr>
        <w:t xml:space="preserve">Fica dispensada a exigência de garantia contratual, considerando que se trata de serviços comuns devidamente padronizados e de baixo risco op</w:t>
      </w:r>
      <w:r>
        <w:rPr>
          <w:rFonts w:ascii="Arial" w:hAnsi="Arial" w:cs="Arial"/>
        </w:rPr>
        <w:t xml:space="preserve">eracional, conforme art. 6º, inciso XXIII, da Lei nº 14.133/2021. As penalidades aplicáveis em caso de inadimplemento seguirão o disposto nos arts. 156 a 159 da Lei, resguardando o interesse público e a continuidade dos atendimentos à população vulnerável.</w:t>
      </w:r>
      <w:r>
        <w:rPr>
          <w:rFonts w:ascii="Arial" w:hAnsi="Arial" w:cs="Arial"/>
        </w:rPr>
      </w:r>
    </w:p>
    <w:p w14:paraId="61F13646" w14:textId="77777777">
      <w:pPr>
        <w:pStyle w:val="882"/>
        <w:pBdr/>
        <w:spacing/>
        <w:ind/>
        <w:rPr>
          <w:rFonts w:eastAsia="SimSun"/>
          <w:sz w:val="20"/>
          <w:szCs w:val="20"/>
          <w:lang w:val="pt-BR"/>
        </w:rPr>
      </w:pPr>
      <w:r>
        <w:rPr>
          <w:rFonts w:eastAsia="SimSun"/>
          <w:sz w:val="20"/>
          <w:szCs w:val="20"/>
          <w:lang w:val="pt-BR"/>
        </w:rPr>
        <w:t xml:space="preserve">29. DA GARANTIA DA EXECUÇÃO:</w:t>
      </w:r>
      <w:r>
        <w:rPr>
          <w:rFonts w:eastAsia="SimSun"/>
          <w:sz w:val="20"/>
          <w:szCs w:val="20"/>
          <w:lang w:val="pt-BR"/>
        </w:rPr>
      </w:r>
    </w:p>
    <w:p w14:paraId="7DBC036D" w14:textId="77777777">
      <w:pPr>
        <w:pBdr/>
        <w:spacing/>
        <w:ind/>
        <w:rPr>
          <w:rFonts w:ascii="Arial" w:hAnsi="Arial" w:eastAsia="SimSun" w:cs="Arial"/>
        </w:rPr>
      </w:pPr>
      <w:r>
        <w:rPr>
          <w:rFonts w:ascii="Arial" w:hAnsi="Arial" w:eastAsia="SimSun" w:cs="Arial"/>
        </w:rPr>
      </w:r>
      <w:r>
        <w:rPr>
          <w:rFonts w:ascii="Arial" w:hAnsi="Arial" w:eastAsia="SimSun" w:cs="Arial"/>
        </w:rPr>
      </w:r>
    </w:p>
    <w:p w14:paraId="30DC714C" w14:textId="77777777">
      <w:pPr>
        <w:pStyle w:val="882"/>
        <w:pBdr/>
        <w:spacing w:after="0" w:before="0"/>
        <w:ind/>
        <w:jc w:val="both"/>
        <w:rPr>
          <w:rFonts w:eastAsia="SimSun"/>
          <w:b w:val="0"/>
          <w:sz w:val="20"/>
          <w:szCs w:val="20"/>
          <w:lang w:val="pt-BR"/>
        </w:rPr>
      </w:pPr>
      <w:r>
        <w:rPr>
          <w:rFonts w:eastAsia="SimSun"/>
          <w:sz w:val="20"/>
          <w:szCs w:val="20"/>
          <w:lang w:val="pt-BR"/>
        </w:rPr>
        <w:t xml:space="preserve">29.1. </w:t>
      </w:r>
      <w:r>
        <w:rPr>
          <w:rFonts w:eastAsia="SimSun"/>
          <w:b w:val="0"/>
          <w:sz w:val="20"/>
          <w:szCs w:val="20"/>
          <w:lang w:val="pt-BR"/>
        </w:rPr>
        <w:t xml:space="preserve">Não haverá exigência de garantia contratual da execução, neste processo será dispensado, com base na Lei nº 14.133, de 1º de abril de 2021. </w:t>
      </w:r>
      <w:r>
        <w:rPr>
          <w:rFonts w:eastAsia="SimSun"/>
          <w:b w:val="0"/>
          <w:sz w:val="20"/>
          <w:szCs w:val="20"/>
          <w:lang w:val="pt-BR"/>
        </w:rPr>
      </w:r>
    </w:p>
    <w:p w14:paraId="13F33E76" w14:textId="77777777">
      <w:pPr>
        <w:pBdr/>
        <w:spacing/>
        <w:ind/>
        <w:rPr>
          <w:rFonts w:ascii="Arial" w:hAnsi="Arial" w:cs="Arial"/>
        </w:rPr>
      </w:pPr>
      <w:r>
        <w:rPr>
          <w:rFonts w:ascii="Arial" w:hAnsi="Arial" w:cs="Arial"/>
        </w:rPr>
      </w:r>
      <w:r>
        <w:rPr>
          <w:rFonts w:ascii="Arial" w:hAnsi="Arial" w:cs="Arial"/>
        </w:rPr>
      </w:r>
    </w:p>
    <w:p w14:paraId="75B00423" w14:textId="77777777">
      <w:pPr>
        <w:pStyle w:val="882"/>
        <w:pBdr/>
        <w:spacing w:after="0" w:before="0"/>
        <w:ind/>
        <w:rPr>
          <w:sz w:val="20"/>
          <w:szCs w:val="20"/>
          <w:lang w:val="pt-BR"/>
        </w:rPr>
      </w:pPr>
      <w:r>
        <w:rPr>
          <w:rFonts w:eastAsia="SimSun"/>
          <w:sz w:val="20"/>
          <w:szCs w:val="20"/>
          <w:lang w:val="pt-BR"/>
        </w:rPr>
        <w:t xml:space="preserve">30. DA IMPUGNAÇÃO AO EDITAL E DO PEDIDO DE ESCLARECIMENTO:</w:t>
      </w:r>
      <w:r>
        <w:rPr>
          <w:sz w:val="20"/>
          <w:szCs w:val="20"/>
          <w:lang w:val="pt-BR"/>
        </w:rPr>
      </w:r>
    </w:p>
    <w:p w14:paraId="7C9BB9A8" w14:textId="77777777">
      <w:pPr>
        <w:pBdr/>
        <w:spacing/>
        <w:ind/>
        <w:jc w:val="both"/>
        <w:rPr>
          <w:rFonts w:ascii="Arial" w:hAnsi="Arial" w:eastAsia="SimSun" w:cs="Arial"/>
          <w:b/>
          <w:color w:val="000000"/>
        </w:rPr>
      </w:pPr>
      <w:r>
        <w:rPr>
          <w:rFonts w:ascii="Arial" w:hAnsi="Arial" w:eastAsia="SimSun" w:cs="Arial"/>
          <w:b/>
          <w:color w:val="000000"/>
        </w:rPr>
      </w:r>
      <w:r>
        <w:rPr>
          <w:rFonts w:ascii="Arial" w:hAnsi="Arial" w:eastAsia="SimSun" w:cs="Arial"/>
          <w:b/>
          <w:color w:val="000000"/>
        </w:rPr>
      </w:r>
    </w:p>
    <w:p w14:paraId="7D2E677A" w14:textId="77777777">
      <w:pPr>
        <w:pBdr/>
        <w:spacing/>
        <w:ind/>
        <w:jc w:val="both"/>
        <w:rPr>
          <w:rFonts w:ascii="Arial" w:hAnsi="Arial" w:cs="Arial"/>
        </w:rPr>
      </w:pPr>
      <w:r>
        <w:rPr>
          <w:rFonts w:ascii="Arial" w:hAnsi="Arial" w:cs="Arial"/>
          <w:b/>
          <w:color w:val="000000"/>
        </w:rPr>
        <w:t xml:space="preserve">30.1.</w:t>
      </w:r>
      <w:r>
        <w:rPr>
          <w:rFonts w:ascii="Arial" w:hAnsi="Arial" w:cs="Arial"/>
          <w:color w:val="000000"/>
        </w:rPr>
        <w:t xml:space="preserve"> </w:t>
      </w:r>
      <w:r>
        <w:rPr>
          <w:rFonts w:ascii="Arial" w:hAnsi="Arial" w:cs="Arial"/>
        </w:rPr>
        <w:t xml:space="preserve">Qualquer pessoa é parte legítima para impugnar edital de licitação por irregularidade na aplicação da Lei ou para solicitar esclarecimento sobre os seus termos, devendo protocolar o pedido </w:t>
      </w:r>
      <w:r>
        <w:rPr>
          <w:rFonts w:ascii="Arial" w:hAnsi="Arial" w:cs="Arial"/>
          <w:color w:val="000000"/>
        </w:rPr>
        <w:t xml:space="preserve">exclusivamente na plataforma eletrônica </w:t>
      </w:r>
      <w:hyperlink r:id="rId34" w:tooltip="mailto:bllcompras.com" w:history="1">
        <w:r>
          <w:rPr>
            <w:rStyle w:val="1293"/>
            <w:rFonts w:ascii="Arial" w:hAnsi="Arial" w:cs="Arial"/>
            <w:b/>
            <w:color w:val="000000"/>
          </w:rPr>
          <w:t xml:space="preserve">bllcompras.com</w:t>
        </w:r>
      </w:hyperlink>
      <w:r>
        <w:rPr>
          <w:rFonts w:ascii="Arial" w:hAnsi="Arial" w:cs="Arial"/>
          <w:b/>
          <w:color w:val="000000"/>
        </w:rPr>
        <w:t xml:space="preserve"> </w:t>
      </w:r>
      <w:r>
        <w:rPr>
          <w:rFonts w:ascii="Arial" w:hAnsi="Arial" w:cs="Arial"/>
        </w:rPr>
        <w:t xml:space="preserve">até 3 (três) dias úteis antes da data de abertura do certame. (Art. 164 da Lei 14.133, de 2021).</w:t>
      </w:r>
      <w:r>
        <w:rPr>
          <w:rFonts w:ascii="Arial" w:hAnsi="Arial" w:cs="Arial"/>
        </w:rPr>
      </w:r>
    </w:p>
    <w:p w14:paraId="7844A07D" w14:textId="77777777">
      <w:pPr>
        <w:pBdr/>
        <w:spacing/>
        <w:ind/>
        <w:jc w:val="both"/>
        <w:rPr>
          <w:rFonts w:ascii="Arial" w:hAnsi="Arial" w:cs="Arial"/>
        </w:rPr>
      </w:pPr>
      <w:r>
        <w:rPr>
          <w:rFonts w:ascii="Arial" w:hAnsi="Arial" w:cs="Arial"/>
        </w:rPr>
      </w:r>
      <w:r>
        <w:rPr>
          <w:rFonts w:ascii="Arial" w:hAnsi="Arial" w:cs="Arial"/>
        </w:rPr>
      </w:r>
    </w:p>
    <w:p w14:paraId="7BCDCE46" w14:textId="77777777">
      <w:pPr>
        <w:pBdr/>
        <w:spacing/>
        <w:ind/>
        <w:jc w:val="both"/>
        <w:rPr>
          <w:rFonts w:ascii="Arial" w:hAnsi="Arial" w:cs="Arial"/>
        </w:rPr>
      </w:pPr>
      <w:r>
        <w:rPr>
          <w:rFonts w:ascii="Arial" w:hAnsi="Arial" w:cs="Arial"/>
          <w:b/>
          <w:color w:val="000000"/>
        </w:rPr>
        <w:t xml:space="preserve">30.2.</w:t>
      </w:r>
      <w:r>
        <w:rPr>
          <w:rFonts w:ascii="Arial" w:hAnsi="Arial" w:cs="Arial"/>
          <w:color w:val="000000"/>
        </w:rPr>
        <w:t xml:space="preserve"> A resposta à impugnação ou ao pedido de esclarecimento será divulgado no </w:t>
      </w:r>
      <w:r>
        <w:rPr>
          <w:rFonts w:ascii="Arial" w:hAnsi="Arial" w:cs="Arial"/>
          <w:b/>
          <w:color w:val="000000"/>
        </w:rPr>
        <w:t xml:space="preserve">site bllcompras.com</w:t>
      </w:r>
      <w:r>
        <w:rPr>
          <w:rFonts w:ascii="Arial" w:hAnsi="Arial" w:cs="Arial"/>
          <w:color w:val="000000"/>
        </w:rPr>
        <w:t xml:space="preserve">, no campo “</w:t>
      </w:r>
      <w:r>
        <w:rPr>
          <w:rFonts w:ascii="Arial" w:hAnsi="Arial" w:cs="Arial"/>
          <w:b/>
          <w:color w:val="000000"/>
        </w:rPr>
        <w:t xml:space="preserve">DOCUMENTOS</w:t>
      </w:r>
      <w:r>
        <w:rPr>
          <w:rFonts w:ascii="Arial" w:hAnsi="Arial" w:cs="Arial"/>
          <w:color w:val="000000"/>
        </w:rPr>
        <w:t xml:space="preserve">”, no link correspondente a este Edital, no prazo de até 3 (três) dias úteis, limitado ao último dia útil anterior à data da abertura do certame.</w:t>
      </w:r>
      <w:r>
        <w:rPr>
          <w:rFonts w:ascii="Arial" w:hAnsi="Arial" w:cs="Arial"/>
        </w:rPr>
      </w:r>
    </w:p>
    <w:p w14:paraId="216F3ECE"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43C9238D" w14:textId="77777777">
      <w:pPr>
        <w:pBdr/>
        <w:spacing/>
        <w:ind/>
        <w:jc w:val="both"/>
        <w:rPr>
          <w:rFonts w:ascii="Arial" w:hAnsi="Arial" w:cs="Arial"/>
        </w:rPr>
      </w:pPr>
      <w:r>
        <w:rPr>
          <w:rFonts w:ascii="Arial" w:hAnsi="Arial" w:cs="Arial"/>
          <w:b/>
        </w:rPr>
        <w:t xml:space="preserve">30.3.</w:t>
      </w:r>
      <w:r>
        <w:rPr>
          <w:rFonts w:ascii="Arial" w:hAnsi="Arial" w:cs="Arial"/>
        </w:rPr>
        <w:t xml:space="preserve"> Na contagem dos prazos estabelecidos neste Edital e seus Anexos, excluir-se-á o dia do início e incluir-se-á o dia do vencimento. Só se iniciam e vencem os prazos em dias de expediente na Administração.</w:t>
      </w:r>
      <w:r>
        <w:rPr>
          <w:rFonts w:ascii="Arial" w:hAnsi="Arial" w:cs="Arial"/>
        </w:rPr>
      </w:r>
    </w:p>
    <w:p w14:paraId="1665B357" w14:textId="77777777">
      <w:pPr>
        <w:pBdr/>
        <w:spacing/>
        <w:ind/>
        <w:jc w:val="both"/>
        <w:rPr>
          <w:rFonts w:ascii="Arial" w:hAnsi="Arial" w:cs="Arial"/>
          <w:b/>
        </w:rPr>
      </w:pPr>
      <w:r>
        <w:rPr>
          <w:rFonts w:ascii="Arial" w:hAnsi="Arial" w:cs="Arial"/>
          <w:b/>
        </w:rPr>
      </w:r>
      <w:r>
        <w:rPr>
          <w:rFonts w:ascii="Arial" w:hAnsi="Arial" w:cs="Arial"/>
          <w:b/>
        </w:rPr>
      </w:r>
    </w:p>
    <w:p w14:paraId="569DBF49" w14:textId="77777777">
      <w:pPr>
        <w:pBdr/>
        <w:spacing/>
        <w:ind/>
        <w:jc w:val="both"/>
        <w:rPr>
          <w:rFonts w:ascii="Arial" w:hAnsi="Arial" w:cs="Arial"/>
        </w:rPr>
      </w:pPr>
      <w:r>
        <w:rPr>
          <w:rFonts w:ascii="Arial" w:hAnsi="Arial" w:cs="Arial"/>
          <w:b/>
        </w:rPr>
        <w:t xml:space="preserve">30.3.1.</w:t>
      </w:r>
      <w:r>
        <w:rPr>
          <w:rFonts w:ascii="Arial" w:hAnsi="Arial" w:cs="Arial"/>
        </w:rPr>
        <w:t xml:space="preserve"> A contagem dos prazos para impugnar ou solicitar esclarecimento ao edital se dará da seguinte forma: o referido prazo será contado de trás para a frente, </w:t>
      </w:r>
      <w:r>
        <w:rPr>
          <w:rFonts w:ascii="Arial" w:hAnsi="Arial" w:cs="Arial"/>
          <w:u w:val="single"/>
        </w:rPr>
        <w:t xml:space="preserve">o dia do início será o da sessão pública</w:t>
      </w:r>
      <w:r>
        <w:rPr>
          <w:rFonts w:ascii="Arial" w:hAnsi="Arial" w:cs="Arial"/>
        </w:rPr>
        <w:t xml:space="preserve">, portanto, </w:t>
      </w:r>
      <w:r>
        <w:rPr>
          <w:rFonts w:ascii="Arial" w:hAnsi="Arial" w:cs="Arial"/>
          <w:u w:val="single"/>
        </w:rPr>
        <w:t xml:space="preserve">exclui-se da contagem</w:t>
      </w:r>
      <w:r>
        <w:rPr>
          <w:rFonts w:ascii="Arial" w:hAnsi="Arial" w:cs="Arial"/>
        </w:rPr>
        <w:t xml:space="preserve">, e </w:t>
      </w:r>
      <w:r>
        <w:rPr>
          <w:rFonts w:ascii="Arial" w:hAnsi="Arial" w:cs="Arial"/>
          <w:u w:val="single"/>
        </w:rPr>
        <w:t xml:space="preserve">inclui-se o dia do vencimento</w:t>
      </w:r>
      <w:r>
        <w:rPr>
          <w:rFonts w:ascii="Arial" w:hAnsi="Arial" w:cs="Arial"/>
        </w:rPr>
        <w:t xml:space="preserve">. Exemplo: em uma licitação marca para </w:t>
      </w:r>
      <w:r>
        <w:rPr>
          <w:rFonts w:ascii="Arial" w:hAnsi="Arial" w:cs="Arial"/>
          <w:u w:val="single"/>
        </w:rPr>
        <w:t xml:space="preserve">sexta feira</w:t>
      </w:r>
      <w:r>
        <w:rPr>
          <w:rFonts w:ascii="Arial" w:hAnsi="Arial" w:cs="Arial"/>
        </w:rPr>
        <w:t xml:space="preserve"> o dia do vencimento será na </w:t>
      </w:r>
      <w:r>
        <w:rPr>
          <w:rFonts w:ascii="Arial" w:hAnsi="Arial" w:cs="Arial"/>
          <w:u w:val="single"/>
        </w:rPr>
        <w:t xml:space="preserve">terça feira</w:t>
      </w:r>
      <w:r>
        <w:rPr>
          <w:rFonts w:ascii="Arial" w:hAnsi="Arial" w:cs="Arial"/>
        </w:rPr>
        <w:t xml:space="preserve">, considerando uma semana de expediente na Administração.</w:t>
      </w:r>
      <w:r>
        <w:rPr>
          <w:rFonts w:ascii="Arial" w:hAnsi="Arial" w:cs="Arial"/>
        </w:rPr>
      </w:r>
    </w:p>
    <w:p w14:paraId="7CC03393" w14:textId="77777777">
      <w:pPr>
        <w:pBdr/>
        <w:spacing/>
        <w:ind/>
        <w:jc w:val="both"/>
        <w:rPr>
          <w:rFonts w:ascii="Arial" w:hAnsi="Arial" w:cs="Arial"/>
        </w:rPr>
      </w:pPr>
      <w:r>
        <w:rPr>
          <w:rFonts w:ascii="Arial" w:hAnsi="Arial" w:cs="Arial"/>
        </w:rPr>
      </w:r>
      <w:r>
        <w:rPr>
          <w:rFonts w:ascii="Arial" w:hAnsi="Arial" w:cs="Arial"/>
        </w:rPr>
      </w:r>
    </w:p>
    <w:p w14:paraId="7487895B" w14:textId="77777777">
      <w:pPr>
        <w:pBdr/>
        <w:spacing/>
        <w:ind/>
        <w:jc w:val="both"/>
        <w:rPr>
          <w:rFonts w:ascii="Arial" w:hAnsi="Arial" w:cs="Arial"/>
        </w:rPr>
      </w:pPr>
      <w:r>
        <w:rPr>
          <w:rFonts w:ascii="Arial" w:hAnsi="Arial" w:cs="Arial"/>
          <w:b/>
        </w:rPr>
        <w:t xml:space="preserve">30.3.2. </w:t>
      </w:r>
      <w:r>
        <w:rPr>
          <w:rFonts w:ascii="Arial" w:hAnsi="Arial" w:cs="Arial"/>
        </w:rPr>
        <w:t xml:space="preserve">Os pedidos de impugnações e esclarecimentos solicitados fora do prazo estabelecido neste edital não serão reconhecidos.</w:t>
      </w:r>
      <w:r>
        <w:rPr>
          <w:rFonts w:ascii="Arial" w:hAnsi="Arial" w:cs="Arial"/>
        </w:rPr>
      </w:r>
    </w:p>
    <w:p w14:paraId="0EAD6B1D"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2DF2DF2C" w14:textId="77777777">
      <w:pPr>
        <w:pBdr/>
        <w:spacing/>
        <w:ind/>
        <w:jc w:val="both"/>
        <w:rPr>
          <w:rFonts w:ascii="Arial" w:hAnsi="Arial" w:cs="Arial"/>
        </w:rPr>
      </w:pPr>
      <w:r>
        <w:rPr>
          <w:rFonts w:ascii="Arial" w:hAnsi="Arial" w:cs="Arial"/>
          <w:b/>
          <w:color w:val="000000"/>
        </w:rPr>
        <w:t xml:space="preserve">30.4.</w:t>
      </w:r>
      <w:r>
        <w:rPr>
          <w:rFonts w:ascii="Arial" w:hAnsi="Arial" w:cs="Arial"/>
          <w:color w:val="000000"/>
        </w:rPr>
        <w:t xml:space="preserve">  </w:t>
      </w:r>
      <w:r>
        <w:rPr>
          <w:rFonts w:ascii="Arial" w:hAnsi="Arial" w:cs="Arial"/>
        </w:rPr>
        <w:t xml:space="preserve">As impugnações e pedidos de esclarecimentos não suspendem os prazos previstos no certame.</w:t>
      </w:r>
      <w:r>
        <w:rPr>
          <w:rFonts w:ascii="Arial" w:hAnsi="Arial" w:cs="Arial"/>
        </w:rPr>
      </w:r>
    </w:p>
    <w:p w14:paraId="59687832" w14:textId="77777777">
      <w:pPr>
        <w:pBdr/>
        <w:spacing/>
        <w:ind/>
        <w:jc w:val="both"/>
        <w:rPr>
          <w:rFonts w:ascii="Arial" w:hAnsi="Arial" w:cs="Arial"/>
        </w:rPr>
      </w:pPr>
      <w:r>
        <w:rPr>
          <w:rFonts w:ascii="Arial" w:hAnsi="Arial" w:cs="Arial"/>
        </w:rPr>
      </w:r>
      <w:r>
        <w:rPr>
          <w:rFonts w:ascii="Arial" w:hAnsi="Arial" w:cs="Arial"/>
        </w:rPr>
      </w:r>
    </w:p>
    <w:p w14:paraId="17D7EE82" w14:textId="77777777">
      <w:pPr>
        <w:pBdr/>
        <w:spacing/>
        <w:ind/>
        <w:jc w:val="both"/>
        <w:rPr>
          <w:rFonts w:ascii="Arial" w:hAnsi="Arial" w:cs="Arial"/>
        </w:rPr>
      </w:pPr>
      <w:r>
        <w:rPr>
          <w:rFonts w:ascii="Arial" w:hAnsi="Arial" w:cs="Arial"/>
          <w:b/>
          <w:color w:val="000000"/>
        </w:rPr>
        <w:t xml:space="preserve">30.5.</w:t>
      </w:r>
      <w:r>
        <w:rPr>
          <w:rFonts w:ascii="Arial" w:hAnsi="Arial" w:cs="Arial"/>
          <w:color w:val="000000"/>
        </w:rPr>
        <w:t xml:space="preserve">  </w:t>
      </w:r>
      <w:r>
        <w:rPr>
          <w:rFonts w:ascii="Arial" w:hAnsi="Arial" w:cs="Arial"/>
        </w:rPr>
        <w:t xml:space="preserve">A concessão de efeito suspensivo à impugnação é medida excepcional e deverá ser motivada pelo agente de contratação, nos autos do processo de licitação.</w:t>
      </w:r>
      <w:r>
        <w:rPr>
          <w:rFonts w:ascii="Arial" w:hAnsi="Arial" w:cs="Arial"/>
        </w:rPr>
      </w:r>
    </w:p>
    <w:p w14:paraId="51E5AA9F" w14:textId="77777777">
      <w:pPr>
        <w:pBdr/>
        <w:spacing/>
        <w:ind/>
        <w:jc w:val="both"/>
        <w:rPr>
          <w:rFonts w:ascii="Arial" w:hAnsi="Arial" w:cs="Arial"/>
        </w:rPr>
      </w:pPr>
      <w:r>
        <w:rPr>
          <w:rFonts w:ascii="Arial" w:hAnsi="Arial" w:cs="Arial"/>
        </w:rPr>
      </w:r>
      <w:r>
        <w:rPr>
          <w:rFonts w:ascii="Arial" w:hAnsi="Arial" w:cs="Arial"/>
        </w:rPr>
      </w:r>
    </w:p>
    <w:p w14:paraId="72CF74D8" w14:textId="77777777">
      <w:pPr>
        <w:pBdr/>
        <w:spacing/>
        <w:ind/>
        <w:jc w:val="both"/>
        <w:rPr>
          <w:rFonts w:ascii="Arial" w:hAnsi="Arial" w:cs="Arial"/>
        </w:rPr>
      </w:pPr>
      <w:r>
        <w:rPr>
          <w:rFonts w:ascii="Arial" w:hAnsi="Arial" w:cs="Arial"/>
          <w:b/>
          <w:color w:val="000000"/>
        </w:rPr>
        <w:t xml:space="preserve">30.6.</w:t>
      </w:r>
      <w:r>
        <w:rPr>
          <w:rFonts w:ascii="Arial" w:hAnsi="Arial" w:cs="Arial"/>
          <w:color w:val="000000"/>
        </w:rPr>
        <w:t xml:space="preserve">  </w:t>
      </w:r>
      <w:r>
        <w:rPr>
          <w:rFonts w:ascii="Arial" w:hAnsi="Arial" w:cs="Arial"/>
        </w:rPr>
        <w:t xml:space="preserve">Acolhida a impugnação, será definida e publicada nova data para a realização do certame.</w:t>
      </w:r>
      <w:r>
        <w:rPr>
          <w:rFonts w:ascii="Arial" w:hAnsi="Arial" w:cs="Arial"/>
        </w:rPr>
      </w:r>
    </w:p>
    <w:p w14:paraId="1BC26F91" w14:textId="77777777">
      <w:pPr>
        <w:pBdr/>
        <w:spacing/>
        <w:ind/>
        <w:jc w:val="both"/>
        <w:rPr>
          <w:rFonts w:ascii="Arial" w:hAnsi="Arial" w:cs="Arial"/>
          <w:b/>
        </w:rPr>
      </w:pPr>
      <w:r>
        <w:rPr>
          <w:rFonts w:ascii="Arial" w:hAnsi="Arial" w:cs="Arial"/>
          <w:b/>
        </w:rPr>
      </w:r>
      <w:r>
        <w:rPr>
          <w:rFonts w:ascii="Arial" w:hAnsi="Arial" w:cs="Arial"/>
          <w:b/>
        </w:rPr>
      </w:r>
    </w:p>
    <w:p w14:paraId="0D3ED323" w14:textId="77777777">
      <w:pPr>
        <w:pBdr/>
        <w:spacing/>
        <w:ind/>
        <w:jc w:val="both"/>
        <w:rPr>
          <w:rFonts w:ascii="Arial" w:hAnsi="Arial" w:cs="Arial"/>
        </w:rPr>
      </w:pPr>
      <w:r>
        <w:rPr>
          <w:rFonts w:ascii="Arial" w:hAnsi="Arial" w:cs="Arial"/>
          <w:b/>
        </w:rPr>
        <w:t xml:space="preserve">30.7.</w:t>
      </w:r>
      <w:r>
        <w:rPr>
          <w:rFonts w:ascii="Arial" w:hAnsi="Arial" w:cs="Arial"/>
        </w:rPr>
        <w:t xml:space="preserve"> A impugnação não impede a impugnante de participar do processo licitatório até o trânsito em julgado da decisão a ela pertinente. </w:t>
      </w:r>
      <w:r>
        <w:rPr>
          <w:rFonts w:ascii="Arial" w:hAnsi="Arial" w:cs="Arial"/>
        </w:rPr>
      </w:r>
    </w:p>
    <w:p w14:paraId="3E36A7CD" w14:textId="77777777">
      <w:pPr>
        <w:pBdr/>
        <w:spacing/>
        <w:ind/>
        <w:jc w:val="both"/>
        <w:rPr>
          <w:rFonts w:ascii="Arial" w:hAnsi="Arial" w:cs="Arial"/>
        </w:rPr>
      </w:pPr>
      <w:r>
        <w:rPr>
          <w:rFonts w:ascii="Arial" w:hAnsi="Arial" w:cs="Arial"/>
        </w:rPr>
      </w:r>
      <w:r>
        <w:rPr>
          <w:rFonts w:ascii="Arial" w:hAnsi="Arial" w:cs="Arial"/>
        </w:rPr>
      </w:r>
    </w:p>
    <w:p w14:paraId="51D04541" w14:textId="77777777">
      <w:pPr>
        <w:pBdr/>
        <w:spacing/>
        <w:ind/>
        <w:jc w:val="both"/>
        <w:rPr>
          <w:rFonts w:ascii="Arial" w:hAnsi="Arial" w:cs="Arial"/>
        </w:rPr>
      </w:pPr>
      <w:r>
        <w:rPr>
          <w:rFonts w:ascii="Arial" w:hAnsi="Arial" w:cs="Arial"/>
          <w:b/>
        </w:rPr>
        <w:t xml:space="preserve">30.8.</w:t>
      </w:r>
      <w:r>
        <w:rPr>
          <w:rFonts w:ascii="Arial" w:hAnsi="Arial" w:cs="Arial"/>
        </w:rPr>
        <w:t xml:space="preserve"> Ocorrendo a impugnação de caráter meramente protelatório, ensejando assim o retardamento da execução do certame, a autoridade competente poderá, assegurado o contraditório e a ampla defesa, </w:t>
      </w:r>
      <w:r>
        <w:rPr>
          <w:rFonts w:ascii="Arial" w:hAnsi="Arial" w:cs="Arial"/>
          <w:color w:val="000000"/>
        </w:rPr>
        <w:t xml:space="preserve">aplicar a pena em conformidade com a legislação vigente.</w:t>
      </w:r>
      <w:r>
        <w:rPr>
          <w:rFonts w:ascii="Arial" w:hAnsi="Arial" w:cs="Arial"/>
        </w:rPr>
      </w:r>
    </w:p>
    <w:p w14:paraId="3DFDAA07"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47709919" w14:textId="77777777">
      <w:pPr>
        <w:pStyle w:val="882"/>
        <w:pBdr/>
        <w:spacing w:after="0" w:before="0"/>
        <w:ind/>
        <w:rPr>
          <w:sz w:val="20"/>
          <w:szCs w:val="20"/>
          <w:lang w:val="pt-BR"/>
        </w:rPr>
      </w:pPr>
      <w:r/>
      <w:bookmarkStart w:id="38" w:name="__RefHeading___Toc190782032"/>
      <w:r>
        <w:rPr>
          <w:rFonts w:eastAsia="SimSun"/>
          <w:sz w:val="20"/>
          <w:szCs w:val="20"/>
          <w:lang w:val="pt-BR"/>
        </w:rPr>
        <w:t xml:space="preserve">31. DAS DISPOSIÇÕES GERAIS:</w:t>
      </w:r>
      <w:bookmarkEnd w:id="38"/>
      <w:r>
        <w:rPr>
          <w:rFonts w:eastAsia="SimSun"/>
          <w:sz w:val="20"/>
          <w:szCs w:val="20"/>
          <w:lang w:val="pt-BR"/>
        </w:rPr>
        <w:t xml:space="preserve"> </w:t>
      </w:r>
      <w:r>
        <w:rPr>
          <w:sz w:val="20"/>
          <w:szCs w:val="20"/>
          <w:lang w:val="pt-BR"/>
        </w:rPr>
      </w:r>
    </w:p>
    <w:p w14:paraId="45AE23A8" w14:textId="77777777">
      <w:pPr>
        <w:pBdr/>
        <w:spacing/>
        <w:ind/>
        <w:jc w:val="both"/>
        <w:rPr>
          <w:rFonts w:ascii="Arial" w:hAnsi="Arial" w:eastAsia="SimSun" w:cs="Arial"/>
          <w:b/>
        </w:rPr>
      </w:pPr>
      <w:r>
        <w:rPr>
          <w:rFonts w:ascii="Arial" w:hAnsi="Arial" w:eastAsia="SimSun" w:cs="Arial"/>
          <w:b/>
        </w:rPr>
      </w:r>
      <w:r>
        <w:rPr>
          <w:rFonts w:ascii="Arial" w:hAnsi="Arial" w:eastAsia="SimSun" w:cs="Arial"/>
          <w:b/>
        </w:rPr>
      </w:r>
    </w:p>
    <w:p w14:paraId="449ABA20" w14:textId="77777777">
      <w:pPr>
        <w:pBdr/>
        <w:spacing/>
        <w:ind/>
        <w:jc w:val="both"/>
        <w:rPr>
          <w:rFonts w:ascii="Arial" w:hAnsi="Arial" w:cs="Arial"/>
        </w:rPr>
      </w:pPr>
      <w:r>
        <w:rPr>
          <w:rFonts w:ascii="Arial" w:hAnsi="Arial" w:cs="Arial"/>
          <w:b/>
        </w:rPr>
        <w:t xml:space="preserve">31</w:t>
      </w:r>
      <w:r>
        <w:rPr>
          <w:rFonts w:ascii="Arial" w:hAnsi="Arial" w:cs="Arial"/>
          <w:b/>
          <w:color w:val="000000"/>
        </w:rPr>
        <w:t xml:space="preserve">.1.</w:t>
      </w:r>
      <w:r>
        <w:rPr>
          <w:rFonts w:ascii="Arial" w:hAnsi="Arial" w:cs="Arial"/>
          <w:color w:val="000000"/>
        </w:rPr>
        <w:t xml:space="preserve"> </w:t>
      </w:r>
      <w:r>
        <w:rPr>
          <w:rFonts w:ascii="Arial" w:hAnsi="Arial" w:cs="Arial"/>
        </w:rPr>
        <w:t xml:space="preserve">Os licitantes assumem todos os custos de preparação e apresentação de suas propostas e a Administração não será, em nenhum caso, responsável por esses custos, independentemente da condução ou do resultado do processo licitatório.</w:t>
      </w:r>
      <w:r>
        <w:rPr>
          <w:rFonts w:ascii="Arial" w:hAnsi="Arial" w:cs="Arial"/>
        </w:rPr>
      </w:r>
    </w:p>
    <w:p w14:paraId="7EE32C25" w14:textId="77777777">
      <w:pPr>
        <w:pBdr/>
        <w:spacing/>
        <w:ind/>
        <w:jc w:val="both"/>
        <w:rPr>
          <w:rFonts w:ascii="Arial" w:hAnsi="Arial" w:cs="Arial"/>
          <w:b/>
        </w:rPr>
      </w:pPr>
      <w:r>
        <w:rPr>
          <w:rFonts w:ascii="Arial" w:hAnsi="Arial" w:cs="Arial"/>
          <w:b/>
        </w:rPr>
      </w:r>
      <w:r>
        <w:rPr>
          <w:rFonts w:ascii="Arial" w:hAnsi="Arial" w:cs="Arial"/>
          <w:b/>
        </w:rPr>
      </w:r>
    </w:p>
    <w:p w14:paraId="6C21956E" w14:textId="77777777">
      <w:pPr>
        <w:pBdr/>
        <w:spacing/>
        <w:ind/>
        <w:jc w:val="both"/>
        <w:rPr>
          <w:rFonts w:ascii="Arial" w:hAnsi="Arial" w:cs="Arial"/>
        </w:rPr>
      </w:pPr>
      <w:r>
        <w:rPr>
          <w:rFonts w:ascii="Arial" w:hAnsi="Arial" w:cs="Arial"/>
          <w:b/>
        </w:rPr>
        <w:t xml:space="preserve">31</w:t>
      </w:r>
      <w:r>
        <w:rPr>
          <w:rFonts w:ascii="Arial" w:hAnsi="Arial" w:cs="Arial"/>
          <w:b/>
          <w:color w:val="000000"/>
        </w:rPr>
        <w:t xml:space="preserve">.2.</w:t>
      </w:r>
      <w:r>
        <w:rPr>
          <w:rFonts w:ascii="Arial" w:hAnsi="Arial" w:cs="Arial"/>
          <w:color w:val="000000"/>
        </w:rPr>
        <w:t xml:space="preserve"> </w:t>
      </w:r>
      <w:r>
        <w:rPr>
          <w:rFonts w:ascii="Arial" w:hAnsi="Arial" w:cs="Arial"/>
        </w:rPr>
        <w:t xml:space="preserve">O desatendimento de exigências formais não essenciais não importará o afastamento do licitante, desde que seja possível o aproveitamento do ato, observados os princípios da isonomia e do interesse público.</w:t>
      </w:r>
      <w:r>
        <w:rPr>
          <w:rFonts w:ascii="Arial" w:hAnsi="Arial" w:cs="Arial"/>
        </w:rPr>
      </w:r>
    </w:p>
    <w:p w14:paraId="5F6E7EE4" w14:textId="77777777">
      <w:pPr>
        <w:pBdr/>
        <w:spacing/>
        <w:ind/>
        <w:jc w:val="both"/>
        <w:rPr>
          <w:rFonts w:ascii="Arial" w:hAnsi="Arial" w:cs="Arial"/>
        </w:rPr>
      </w:pPr>
      <w:r>
        <w:rPr>
          <w:rFonts w:ascii="Arial" w:hAnsi="Arial" w:cs="Arial"/>
        </w:rPr>
      </w:r>
      <w:r>
        <w:rPr>
          <w:rFonts w:ascii="Arial" w:hAnsi="Arial" w:cs="Arial"/>
        </w:rPr>
      </w:r>
    </w:p>
    <w:p w14:paraId="2D06DA41" w14:textId="77777777">
      <w:pPr>
        <w:pBdr/>
        <w:spacing/>
        <w:ind/>
        <w:jc w:val="both"/>
        <w:rPr>
          <w:rFonts w:ascii="Arial" w:hAnsi="Arial" w:cs="Arial"/>
        </w:rPr>
      </w:pPr>
      <w:r>
        <w:rPr>
          <w:rFonts w:ascii="Arial" w:hAnsi="Arial" w:cs="Arial"/>
          <w:b/>
        </w:rPr>
        <w:t xml:space="preserve">31</w:t>
      </w:r>
      <w:r>
        <w:rPr>
          <w:rFonts w:ascii="Arial" w:hAnsi="Arial" w:cs="Arial"/>
          <w:b/>
          <w:color w:val="000000"/>
        </w:rPr>
        <w:t xml:space="preserve">.3.</w:t>
      </w:r>
      <w:r>
        <w:rPr>
          <w:rFonts w:ascii="Arial" w:hAnsi="Arial" w:cs="Arial"/>
          <w:color w:val="000000"/>
        </w:rPr>
        <w:t xml:space="preserve"> A sessão pública poderá ser suspensa, por prazo a ser definido na própria sessão, para a análise prévia proposta ou de documento exigidos para habilitação que se fizer necessário. </w:t>
      </w:r>
      <w:r>
        <w:rPr>
          <w:rFonts w:ascii="Arial" w:hAnsi="Arial" w:cs="Arial"/>
        </w:rPr>
      </w:r>
    </w:p>
    <w:p w14:paraId="7AEFB8E4" w14:textId="77777777">
      <w:pPr>
        <w:pBdr/>
        <w:spacing/>
        <w:ind/>
        <w:jc w:val="both"/>
        <w:rPr>
          <w:rFonts w:ascii="Arial" w:hAnsi="Arial" w:cs="Arial"/>
          <w:b/>
          <w:color w:val="000000"/>
        </w:rPr>
      </w:pPr>
      <w:r>
        <w:rPr>
          <w:rFonts w:ascii="Arial" w:hAnsi="Arial" w:cs="Arial"/>
          <w:b/>
          <w:color w:val="000000"/>
        </w:rPr>
      </w:r>
      <w:r>
        <w:rPr>
          <w:rFonts w:ascii="Arial" w:hAnsi="Arial" w:cs="Arial"/>
          <w:b/>
          <w:color w:val="000000"/>
        </w:rPr>
      </w:r>
    </w:p>
    <w:p w14:paraId="5994F564" w14:textId="77777777">
      <w:pPr>
        <w:pBdr/>
        <w:spacing/>
        <w:ind/>
        <w:jc w:val="both"/>
        <w:rPr>
          <w:rFonts w:ascii="Arial" w:hAnsi="Arial" w:cs="Arial"/>
        </w:rPr>
      </w:pPr>
      <w:r>
        <w:rPr>
          <w:rFonts w:ascii="Arial" w:hAnsi="Arial" w:cs="Arial"/>
          <w:b/>
          <w:color w:val="000000"/>
        </w:rPr>
        <w:t xml:space="preserve">31.3.1.</w:t>
      </w:r>
      <w:r>
        <w:rPr>
          <w:rFonts w:ascii="Arial" w:hAnsi="Arial" w:cs="Arial"/>
          <w:color w:val="000000"/>
        </w:rPr>
        <w:t xml:space="preserve"> Todos e quaisquer avisos pertinentes ao certame, </w:t>
      </w:r>
      <w:r>
        <w:rPr>
          <w:rFonts w:ascii="Arial" w:hAnsi="Arial" w:cs="Arial"/>
          <w:b/>
        </w:rPr>
        <w:t xml:space="preserve">adendos, esclarecimentos, impugnações, </w:t>
      </w:r>
      <w:r>
        <w:rPr>
          <w:rFonts w:ascii="Arial" w:hAnsi="Arial" w:cs="Arial"/>
        </w:rPr>
        <w:t xml:space="preserve">farão parte do instrumento convocatório, </w:t>
      </w:r>
      <w:r>
        <w:rPr>
          <w:rFonts w:ascii="Arial" w:hAnsi="Arial" w:cs="Arial"/>
          <w:color w:val="000000"/>
        </w:rPr>
        <w:t xml:space="preserve">suspensão em decorrência de horário de expediente ou fatos supervenientes, serão postados no chat e/ou anexados no campo “</w:t>
      </w:r>
      <w:r>
        <w:rPr>
          <w:rFonts w:ascii="Arial" w:hAnsi="Arial" w:cs="Arial"/>
          <w:b/>
          <w:color w:val="000000"/>
        </w:rPr>
        <w:t xml:space="preserve">DOCUMENTO</w:t>
      </w:r>
      <w:r>
        <w:rPr>
          <w:rFonts w:ascii="Arial" w:hAnsi="Arial" w:cs="Arial"/>
          <w:color w:val="000000"/>
        </w:rPr>
        <w:t xml:space="preserve">” no sistema </w:t>
      </w:r>
      <w:hyperlink r:id="rId35" w:tooltip="http://bllcompras.com/" w:history="1">
        <w:r>
          <w:rPr>
            <w:rStyle w:val="1293"/>
            <w:rFonts w:ascii="Arial" w:hAnsi="Arial" w:cs="Arial"/>
            <w:b/>
            <w:color w:val="000000"/>
          </w:rPr>
          <w:t xml:space="preserve">bllcompras.com</w:t>
        </w:r>
      </w:hyperlink>
      <w:r>
        <w:rPr>
          <w:rFonts w:ascii="Arial" w:hAnsi="Arial" w:cs="Arial"/>
          <w:color w:val="000000"/>
        </w:rPr>
        <w:t xml:space="preserve">, sendo de inteira responsabilidade o acompanhamento por parte do licitante.</w:t>
      </w:r>
      <w:r>
        <w:rPr>
          <w:rFonts w:ascii="Arial" w:hAnsi="Arial" w:cs="Arial"/>
          <w:color w:val="ff0000"/>
        </w:rPr>
        <w:t xml:space="preserve"> </w:t>
      </w:r>
      <w:r>
        <w:rPr>
          <w:rFonts w:ascii="Arial" w:hAnsi="Arial" w:cs="Arial"/>
          <w:color w:val="000000"/>
        </w:rPr>
        <w:t xml:space="preserve">Não podendo o licitante alegar desconhecimento da informação, sob pena de decair seus direitos. </w:t>
      </w:r>
      <w:r>
        <w:rPr>
          <w:rFonts w:ascii="Arial" w:hAnsi="Arial" w:cs="Arial"/>
        </w:rPr>
      </w:r>
    </w:p>
    <w:p w14:paraId="4296F331" w14:textId="77777777">
      <w:pPr>
        <w:pBdr/>
        <w:spacing/>
        <w:ind/>
        <w:jc w:val="both"/>
        <w:rPr>
          <w:rFonts w:ascii="Arial" w:hAnsi="Arial" w:cs="Arial"/>
          <w:b/>
          <w:color w:val="000000"/>
        </w:rPr>
      </w:pPr>
      <w:r>
        <w:rPr>
          <w:rFonts w:ascii="Arial" w:hAnsi="Arial" w:cs="Arial"/>
          <w:b/>
          <w:color w:val="000000"/>
        </w:rPr>
      </w:r>
      <w:r>
        <w:rPr>
          <w:rFonts w:ascii="Arial" w:hAnsi="Arial" w:cs="Arial"/>
          <w:b/>
          <w:color w:val="000000"/>
        </w:rPr>
      </w:r>
    </w:p>
    <w:p w14:paraId="33FC6DED" w14:textId="77777777">
      <w:pPr>
        <w:pBdr/>
        <w:spacing/>
        <w:ind/>
        <w:jc w:val="both"/>
        <w:rPr>
          <w:rFonts w:ascii="Arial" w:hAnsi="Arial" w:cs="Arial"/>
        </w:rPr>
      </w:pPr>
      <w:r>
        <w:rPr>
          <w:rFonts w:ascii="Arial" w:hAnsi="Arial" w:cs="Arial"/>
          <w:b/>
        </w:rPr>
        <w:t xml:space="preserve">31.4.</w:t>
      </w:r>
      <w:r>
        <w:rPr>
          <w:rFonts w:ascii="Arial" w:hAnsi="Arial" w:cs="Arial"/>
        </w:rPr>
        <w:t xml:space="preserve"> Não havendo expediente ou ocorrendo qualquer fato sup</w:t>
      </w:r>
      <w:r>
        <w:rPr>
          <w:rFonts w:ascii="Arial" w:hAnsi="Arial" w:cs="Arial"/>
        </w:rPr>
        <w:t xml:space="preserve">erveniente que impeça a realização do certame na data marcada, a sessão será automaticamente transferida para o primeiro dia útil subsequente, no mesmo horário e local, anteriormente estabelecidos, desde que não haja comunicação do Pregoeiro em contrário. </w:t>
      </w:r>
      <w:r>
        <w:rPr>
          <w:rFonts w:ascii="Arial" w:hAnsi="Arial" w:cs="Arial"/>
        </w:rPr>
      </w:r>
    </w:p>
    <w:p w14:paraId="7611EFBE" w14:textId="77777777">
      <w:pPr>
        <w:pBdr/>
        <w:spacing/>
        <w:ind/>
        <w:jc w:val="both"/>
        <w:rPr>
          <w:rFonts w:ascii="Arial" w:hAnsi="Arial" w:cs="Arial"/>
          <w:b/>
        </w:rPr>
      </w:pPr>
      <w:r>
        <w:rPr>
          <w:rFonts w:ascii="Arial" w:hAnsi="Arial" w:cs="Arial"/>
          <w:b/>
        </w:rPr>
      </w:r>
      <w:r>
        <w:rPr>
          <w:rFonts w:ascii="Arial" w:hAnsi="Arial" w:cs="Arial"/>
          <w:b/>
        </w:rPr>
      </w:r>
    </w:p>
    <w:p w14:paraId="29273347" w14:textId="77777777">
      <w:pPr>
        <w:pBdr/>
        <w:spacing/>
        <w:ind/>
        <w:jc w:val="both"/>
        <w:rPr>
          <w:rFonts w:ascii="Arial" w:hAnsi="Arial" w:cs="Arial"/>
        </w:rPr>
      </w:pPr>
      <w:r>
        <w:rPr>
          <w:rFonts w:ascii="Arial" w:hAnsi="Arial" w:cs="Arial"/>
          <w:b/>
        </w:rPr>
        <w:t xml:space="preserve">31.5.</w:t>
      </w:r>
      <w:r>
        <w:rPr>
          <w:rFonts w:ascii="Arial" w:hAnsi="Arial" w:cs="Arial"/>
        </w:rPr>
        <w:t xml:space="preserve"> Os licitantes deverão examinar detidamente as dispo</w:t>
      </w:r>
      <w:r>
        <w:rPr>
          <w:rFonts w:ascii="Arial" w:hAnsi="Arial" w:cs="Arial"/>
        </w:rPr>
        <w:t xml:space="preserve">sições contidas neste Edital e em seus Anexos, pois a simples apresentação das propostas subentende a aceitação incondicional de seus termos, independentemente de transcrição, não sendo aceitas quaisquer alegações de desconhecimento de qualquer por menor. </w:t>
      </w:r>
      <w:r>
        <w:rPr>
          <w:rFonts w:ascii="Arial" w:hAnsi="Arial" w:cs="Arial"/>
        </w:rPr>
      </w:r>
    </w:p>
    <w:p w14:paraId="5FE6E9F5" w14:textId="77777777">
      <w:pPr>
        <w:pBdr/>
        <w:spacing/>
        <w:ind/>
        <w:jc w:val="both"/>
        <w:rPr>
          <w:rFonts w:ascii="Arial" w:hAnsi="Arial" w:cs="Arial"/>
          <w:b/>
        </w:rPr>
      </w:pPr>
      <w:r>
        <w:rPr>
          <w:rFonts w:ascii="Arial" w:hAnsi="Arial" w:cs="Arial"/>
          <w:b/>
        </w:rPr>
      </w:r>
      <w:r>
        <w:rPr>
          <w:rFonts w:ascii="Arial" w:hAnsi="Arial" w:cs="Arial"/>
          <w:b/>
        </w:rPr>
      </w:r>
    </w:p>
    <w:p w14:paraId="38AA3A90" w14:textId="77777777">
      <w:pPr>
        <w:pBdr/>
        <w:spacing/>
        <w:ind/>
        <w:jc w:val="both"/>
        <w:rPr>
          <w:rFonts w:ascii="Arial" w:hAnsi="Arial" w:cs="Arial"/>
        </w:rPr>
      </w:pPr>
      <w:r>
        <w:rPr>
          <w:rFonts w:ascii="Arial" w:hAnsi="Arial" w:cs="Arial"/>
          <w:b/>
        </w:rPr>
        <w:t xml:space="preserve">31.6.</w:t>
      </w:r>
      <w:r>
        <w:rPr>
          <w:rFonts w:ascii="Arial" w:hAnsi="Arial" w:cs="Arial"/>
        </w:rPr>
        <w:t xml:space="preserve"> É facultada a</w:t>
      </w:r>
      <w:r>
        <w:rPr>
          <w:rFonts w:ascii="Arial" w:hAnsi="Arial" w:cs="Arial"/>
        </w:rPr>
        <w:t xml:space="preserve">o Pregoeiro ou autoridade superior em qualquer fase da licitação, a promoção de diligência destinada a esclarecer ou complementar a instrução do processo, vedada a inclusão posterior de documento ou informação que deveria constar no ato da sessão pública. </w:t>
      </w:r>
      <w:r>
        <w:rPr>
          <w:rFonts w:ascii="Arial" w:hAnsi="Arial" w:cs="Arial"/>
        </w:rPr>
      </w:r>
    </w:p>
    <w:p w14:paraId="759588FD" w14:textId="77777777">
      <w:pPr>
        <w:pBdr/>
        <w:spacing/>
        <w:ind/>
        <w:jc w:val="both"/>
        <w:rPr>
          <w:rFonts w:ascii="Arial" w:hAnsi="Arial" w:cs="Arial"/>
          <w:b/>
        </w:rPr>
      </w:pPr>
      <w:r>
        <w:rPr>
          <w:rFonts w:ascii="Arial" w:hAnsi="Arial" w:cs="Arial"/>
          <w:b/>
        </w:rPr>
      </w:r>
      <w:r>
        <w:rPr>
          <w:rFonts w:ascii="Arial" w:hAnsi="Arial" w:cs="Arial"/>
          <w:b/>
        </w:rPr>
      </w:r>
    </w:p>
    <w:p w14:paraId="04B55A95" w14:textId="77777777">
      <w:pPr>
        <w:pBdr/>
        <w:spacing/>
        <w:ind/>
        <w:jc w:val="both"/>
        <w:rPr>
          <w:rFonts w:ascii="Arial" w:hAnsi="Arial" w:cs="Arial"/>
        </w:rPr>
      </w:pPr>
      <w:r>
        <w:rPr>
          <w:rFonts w:ascii="Arial" w:hAnsi="Arial" w:cs="Arial"/>
          <w:b/>
        </w:rPr>
        <w:t xml:space="preserve">31.7.</w:t>
      </w:r>
      <w:r>
        <w:rPr>
          <w:rFonts w:ascii="Arial" w:hAnsi="Arial" w:cs="Arial"/>
        </w:rPr>
        <w:t xml:space="preserve"> A Autoridade co</w:t>
      </w:r>
      <w:r>
        <w:rPr>
          <w:rFonts w:ascii="Arial" w:hAnsi="Arial" w:cs="Arial"/>
        </w:rPr>
        <w:t xml:space="preserve">mpetente poderá cancelar a licitação por fato superveniente devidamente comprovado, pertinente e suficiente para justificar tal conduta, devendo anulá-la por ilegalidade, de ofício ou por provocação de qualquer pessoa, mediante ato escrito e fundamentado. </w:t>
      </w:r>
      <w:r>
        <w:rPr>
          <w:rFonts w:ascii="Arial" w:hAnsi="Arial" w:cs="Arial"/>
        </w:rPr>
      </w:r>
    </w:p>
    <w:p w14:paraId="3C60C598" w14:textId="77777777">
      <w:pPr>
        <w:pBdr/>
        <w:spacing/>
        <w:ind/>
        <w:jc w:val="both"/>
        <w:rPr>
          <w:rFonts w:ascii="Arial" w:hAnsi="Arial" w:cs="Arial"/>
          <w:b/>
        </w:rPr>
      </w:pPr>
      <w:r>
        <w:rPr>
          <w:rFonts w:ascii="Arial" w:hAnsi="Arial" w:cs="Arial"/>
          <w:b/>
        </w:rPr>
      </w:r>
      <w:r>
        <w:rPr>
          <w:rFonts w:ascii="Arial" w:hAnsi="Arial" w:cs="Arial"/>
          <w:b/>
        </w:rPr>
      </w:r>
    </w:p>
    <w:p w14:paraId="67892C49" w14:textId="77777777">
      <w:pPr>
        <w:pBdr/>
        <w:spacing/>
        <w:ind/>
        <w:jc w:val="both"/>
        <w:rPr>
          <w:rFonts w:ascii="Arial" w:hAnsi="Arial" w:cs="Arial"/>
        </w:rPr>
      </w:pPr>
      <w:r>
        <w:rPr>
          <w:rFonts w:ascii="Arial" w:hAnsi="Arial" w:cs="Arial"/>
          <w:b/>
        </w:rPr>
        <w:t xml:space="preserve">31.7.1.</w:t>
      </w:r>
      <w:r>
        <w:rPr>
          <w:rFonts w:ascii="Arial" w:hAnsi="Arial" w:cs="Arial"/>
        </w:rPr>
        <w:t xml:space="preserve"> A anulação do procedimento licitatório induz a anulação do contrato.</w:t>
      </w:r>
      <w:r>
        <w:rPr>
          <w:rFonts w:ascii="Arial" w:hAnsi="Arial" w:cs="Arial"/>
        </w:rPr>
      </w:r>
    </w:p>
    <w:p w14:paraId="1474E515" w14:textId="77777777">
      <w:pPr>
        <w:pBdr/>
        <w:spacing/>
        <w:ind/>
        <w:jc w:val="both"/>
        <w:rPr>
          <w:rFonts w:ascii="Arial" w:hAnsi="Arial" w:cs="Arial"/>
          <w:b/>
        </w:rPr>
      </w:pPr>
      <w:r>
        <w:rPr>
          <w:rFonts w:ascii="Arial" w:hAnsi="Arial" w:cs="Arial"/>
          <w:b/>
        </w:rPr>
      </w:r>
      <w:r>
        <w:rPr>
          <w:rFonts w:ascii="Arial" w:hAnsi="Arial" w:cs="Arial"/>
          <w:b/>
        </w:rPr>
      </w:r>
    </w:p>
    <w:p w14:paraId="63851411" w14:textId="77777777">
      <w:pPr>
        <w:pBdr/>
        <w:spacing/>
        <w:ind/>
        <w:jc w:val="both"/>
        <w:rPr>
          <w:rFonts w:ascii="Arial" w:hAnsi="Arial" w:cs="Arial"/>
        </w:rPr>
      </w:pPr>
      <w:r>
        <w:rPr>
          <w:rFonts w:ascii="Arial" w:hAnsi="Arial" w:cs="Arial"/>
          <w:b/>
        </w:rPr>
        <w:t xml:space="preserve">31.7.2.</w:t>
      </w:r>
      <w:r>
        <w:rPr>
          <w:rFonts w:ascii="Arial" w:hAnsi="Arial" w:cs="Arial"/>
        </w:rPr>
        <w:t xml:space="preserve"> Os licitantes não terão direito à indenização em decorrência da anulação do procedimento licitatório, ressalvado o direito do contratado de boa-fé de ser ressarcido pelos encargos que tiver suportado no cumprimento das obrigações. </w:t>
      </w:r>
      <w:r>
        <w:rPr>
          <w:rFonts w:ascii="Arial" w:hAnsi="Arial" w:cs="Arial"/>
        </w:rPr>
      </w:r>
    </w:p>
    <w:p w14:paraId="035FCE49" w14:textId="77777777">
      <w:pPr>
        <w:pBdr/>
        <w:spacing/>
        <w:ind/>
        <w:jc w:val="both"/>
        <w:rPr>
          <w:rFonts w:ascii="Arial" w:hAnsi="Arial" w:cs="Arial"/>
          <w:b/>
        </w:rPr>
      </w:pPr>
      <w:r>
        <w:rPr>
          <w:rFonts w:ascii="Arial" w:hAnsi="Arial" w:cs="Arial"/>
          <w:b/>
        </w:rPr>
      </w:r>
      <w:r>
        <w:rPr>
          <w:rFonts w:ascii="Arial" w:hAnsi="Arial" w:cs="Arial"/>
          <w:b/>
        </w:rPr>
      </w:r>
    </w:p>
    <w:p w14:paraId="0D796E89" w14:textId="77777777">
      <w:pPr>
        <w:pBdr/>
        <w:spacing/>
        <w:ind/>
        <w:jc w:val="both"/>
        <w:rPr>
          <w:rFonts w:ascii="Arial" w:hAnsi="Arial" w:cs="Arial"/>
        </w:rPr>
      </w:pPr>
      <w:r>
        <w:rPr>
          <w:rFonts w:ascii="Arial" w:hAnsi="Arial" w:cs="Arial"/>
          <w:b/>
        </w:rPr>
        <w:t xml:space="preserve">31.8.</w:t>
      </w:r>
      <w:r>
        <w:rPr>
          <w:rFonts w:ascii="Arial" w:hAnsi="Arial" w:cs="Arial"/>
        </w:rPr>
        <w:t xml:space="preserve"> As normas disciplinadoras da licitação serão sempre interpretadas em favor da ampliação da disputa entre os interessados, desde que não comprometam o interesse da Administração, o princípio da isonomia, a finalidade e a segurança da contratação. </w:t>
      </w:r>
      <w:r>
        <w:rPr>
          <w:rFonts w:ascii="Arial" w:hAnsi="Arial" w:cs="Arial"/>
        </w:rPr>
      </w:r>
    </w:p>
    <w:p w14:paraId="06923119" w14:textId="77777777">
      <w:pPr>
        <w:pBdr/>
        <w:spacing/>
        <w:ind/>
        <w:jc w:val="both"/>
        <w:rPr>
          <w:rFonts w:ascii="Arial" w:hAnsi="Arial" w:cs="Arial"/>
        </w:rPr>
      </w:pPr>
      <w:r>
        <w:rPr>
          <w:rFonts w:ascii="Arial" w:hAnsi="Arial" w:cs="Arial"/>
        </w:rPr>
      </w:r>
      <w:r>
        <w:rPr>
          <w:rFonts w:ascii="Arial" w:hAnsi="Arial" w:cs="Arial"/>
        </w:rPr>
      </w:r>
    </w:p>
    <w:p w14:paraId="31724FD2" w14:textId="77777777">
      <w:pPr>
        <w:pBdr/>
        <w:spacing/>
        <w:ind/>
        <w:jc w:val="both"/>
        <w:rPr>
          <w:rFonts w:ascii="Arial" w:hAnsi="Arial" w:cs="Arial"/>
        </w:rPr>
      </w:pPr>
      <w:r>
        <w:rPr>
          <w:rFonts w:ascii="Arial" w:hAnsi="Arial" w:cs="Arial"/>
          <w:b/>
        </w:rPr>
        <w:t xml:space="preserve">31.9.</w:t>
      </w:r>
      <w:r>
        <w:rPr>
          <w:rFonts w:ascii="Arial" w:hAnsi="Arial" w:cs="Arial"/>
        </w:rPr>
        <w:t xml:space="preserve"> A homologação do resultado desta licitação não implicará direito à contratação. </w:t>
      </w:r>
      <w:r>
        <w:rPr>
          <w:rFonts w:ascii="Arial" w:hAnsi="Arial" w:cs="Arial"/>
        </w:rPr>
      </w:r>
    </w:p>
    <w:p w14:paraId="096CE690" w14:textId="77777777">
      <w:pPr>
        <w:pBdr/>
        <w:spacing/>
        <w:ind/>
        <w:jc w:val="both"/>
        <w:rPr>
          <w:rFonts w:ascii="Arial" w:hAnsi="Arial" w:cs="Arial"/>
          <w:b/>
        </w:rPr>
      </w:pPr>
      <w:r>
        <w:rPr>
          <w:rFonts w:ascii="Arial" w:hAnsi="Arial" w:cs="Arial"/>
          <w:b/>
        </w:rPr>
      </w:r>
      <w:r>
        <w:rPr>
          <w:rFonts w:ascii="Arial" w:hAnsi="Arial" w:cs="Arial"/>
          <w:b/>
        </w:rPr>
      </w:r>
    </w:p>
    <w:p w14:paraId="31D5C96D" w14:textId="77777777">
      <w:pPr>
        <w:pBdr/>
        <w:spacing/>
        <w:ind/>
        <w:jc w:val="both"/>
        <w:rPr>
          <w:rFonts w:ascii="Arial" w:hAnsi="Arial" w:cs="Arial"/>
        </w:rPr>
      </w:pPr>
      <w:r>
        <w:rPr>
          <w:rFonts w:ascii="Arial" w:hAnsi="Arial" w:cs="Arial"/>
          <w:b/>
          <w:color w:val="000000"/>
        </w:rPr>
        <w:t xml:space="preserve">31.10.</w:t>
      </w:r>
      <w:r>
        <w:rPr>
          <w:rFonts w:ascii="Arial" w:hAnsi="Arial" w:cs="Arial"/>
          <w:color w:val="000000"/>
        </w:rPr>
        <w:t xml:space="preserve"> É de inteira responsabilidade do licitante o acompanhamento no </w:t>
      </w:r>
      <w:r>
        <w:rPr>
          <w:rFonts w:ascii="Arial" w:hAnsi="Arial" w:cs="Arial"/>
          <w:b/>
          <w:color w:val="000000"/>
        </w:rPr>
        <w:t xml:space="preserve">site bllcompras.com</w:t>
      </w:r>
      <w:r>
        <w:rPr>
          <w:rFonts w:ascii="Arial" w:hAnsi="Arial" w:cs="Arial"/>
          <w:color w:val="000000"/>
        </w:rPr>
        <w:t xml:space="preserve"> quanto a sua classificação/desclassificação, ficando responsável pelo ônus decorrente da perda de negócios diante da inobservância e cumprimento do prazo. </w:t>
      </w:r>
      <w:r>
        <w:rPr>
          <w:rFonts w:ascii="Arial" w:hAnsi="Arial" w:cs="Arial"/>
        </w:rPr>
      </w:r>
    </w:p>
    <w:p w14:paraId="719D2D64" w14:textId="77777777">
      <w:pPr>
        <w:pBdr/>
        <w:spacing/>
        <w:ind/>
        <w:jc w:val="both"/>
        <w:rPr>
          <w:rFonts w:ascii="Arial" w:hAnsi="Arial" w:cs="Arial"/>
          <w:b/>
          <w:color w:val="000000"/>
        </w:rPr>
      </w:pPr>
      <w:r>
        <w:rPr>
          <w:rFonts w:ascii="Arial" w:hAnsi="Arial" w:cs="Arial"/>
          <w:b/>
          <w:color w:val="000000"/>
        </w:rPr>
      </w:r>
      <w:r>
        <w:rPr>
          <w:rFonts w:ascii="Arial" w:hAnsi="Arial" w:cs="Arial"/>
          <w:b/>
          <w:color w:val="000000"/>
        </w:rPr>
      </w:r>
    </w:p>
    <w:p w14:paraId="35E34A84" w14:textId="77777777">
      <w:pPr>
        <w:pBdr/>
        <w:spacing/>
        <w:ind/>
        <w:jc w:val="both"/>
        <w:rPr>
          <w:rFonts w:ascii="Arial" w:hAnsi="Arial" w:cs="Arial"/>
        </w:rPr>
      </w:pPr>
      <w:r>
        <w:rPr>
          <w:rFonts w:ascii="Arial" w:hAnsi="Arial" w:cs="Arial"/>
          <w:b/>
        </w:rPr>
        <w:t xml:space="preserve">31.11.</w:t>
      </w:r>
      <w:r>
        <w:rPr>
          <w:rFonts w:ascii="Arial" w:hAnsi="Arial" w:cs="Arial"/>
        </w:rPr>
        <w:t xml:space="preserve"> Quaisquer cláusulas deste edital que não seja cumprido, caberá ao pregoeiro a decisão sobre a desclassificação do licitante, em razão dos danos causados ao processo. </w:t>
      </w:r>
      <w:r>
        <w:rPr>
          <w:rFonts w:ascii="Arial" w:hAnsi="Arial" w:cs="Arial"/>
        </w:rPr>
      </w:r>
    </w:p>
    <w:p w14:paraId="6BAE8716" w14:textId="77777777">
      <w:pPr>
        <w:pBdr/>
        <w:spacing/>
        <w:ind/>
        <w:jc w:val="both"/>
        <w:rPr>
          <w:rFonts w:ascii="Arial" w:hAnsi="Arial" w:cs="Arial"/>
          <w:b/>
        </w:rPr>
      </w:pPr>
      <w:r>
        <w:rPr>
          <w:rFonts w:ascii="Arial" w:hAnsi="Arial" w:cs="Arial"/>
          <w:b/>
        </w:rPr>
      </w:r>
      <w:r>
        <w:rPr>
          <w:rFonts w:ascii="Arial" w:hAnsi="Arial" w:cs="Arial"/>
          <w:b/>
        </w:rPr>
      </w:r>
    </w:p>
    <w:p w14:paraId="21814EBB" w14:textId="77777777">
      <w:pPr>
        <w:pBdr/>
        <w:spacing/>
        <w:ind/>
        <w:jc w:val="both"/>
        <w:rPr>
          <w:rFonts w:ascii="Arial" w:hAnsi="Arial" w:cs="Arial"/>
        </w:rPr>
      </w:pPr>
      <w:r>
        <w:rPr>
          <w:rFonts w:ascii="Arial" w:hAnsi="Arial" w:cs="Arial"/>
          <w:b/>
        </w:rPr>
        <w:t xml:space="preserve">31.12.</w:t>
      </w:r>
      <w:r>
        <w:rPr>
          <w:rFonts w:ascii="Arial" w:hAnsi="Arial" w:cs="Arial"/>
        </w:rPr>
        <w:t xml:space="preserve"> O Edital está disponível, na íntegra, </w:t>
      </w:r>
      <w:r>
        <w:rPr>
          <w:rFonts w:ascii="Arial" w:hAnsi="Arial" w:cs="Arial"/>
          <w:b/>
        </w:rPr>
        <w:t xml:space="preserve">nos endereços eletrônico</w:t>
      </w:r>
      <w:r>
        <w:rPr>
          <w:rFonts w:ascii="Arial" w:hAnsi="Arial" w:cs="Arial"/>
        </w:rPr>
        <w:t xml:space="preserve"> </w:t>
      </w:r>
      <w:hyperlink w:history="1">
        <w:r>
          <w:rPr>
            <w:rFonts w:ascii="Arial" w:hAnsi="Arial" w:cs="Arial"/>
            <w:shd w:val="clear" w:color="auto" w:fill="ffffff"/>
          </w:rPr>
          <w:t xml:space="preserve">https://bllcompras.com›</w:t>
        </w:r>
      </w:hyperlink>
      <w:r>
        <w:rPr>
          <w:rFonts w:ascii="Arial" w:hAnsi="Arial" w:cs="Arial"/>
          <w:b/>
        </w:rPr>
        <w:t xml:space="preserve">; </w:t>
      </w:r>
      <w:hyperlink r:id="rId36" w:tooltip="http://www.rondonopolis.mt.gov.br/" w:history="1">
        <w:r>
          <w:rPr>
            <w:rStyle w:val="1293"/>
            <w:rFonts w:ascii="Arial" w:hAnsi="Arial" w:cs="Arial"/>
            <w:b/>
          </w:rPr>
          <w:t xml:space="preserve">www.rondonopolis.mt.gov.br</w:t>
        </w:r>
      </w:hyperlink>
      <w:r>
        <w:rPr>
          <w:rFonts w:ascii="Arial" w:hAnsi="Arial" w:cs="Arial"/>
        </w:rPr>
        <w:t xml:space="preserve">, e também poderão ser lidos e/ou obtidos em dias úteis, no endereço e horário indicado no preambulo deste edital; no mesmo endereço e período no qual os autos do processo administrativo permanecerão com vista franqueada aos interessados.</w:t>
      </w:r>
      <w:r>
        <w:rPr>
          <w:rFonts w:ascii="Arial" w:hAnsi="Arial" w:cs="Arial"/>
        </w:rPr>
      </w:r>
    </w:p>
    <w:p w14:paraId="78B61999" w14:textId="77777777">
      <w:pPr>
        <w:pBdr/>
        <w:spacing/>
        <w:ind/>
        <w:jc w:val="both"/>
        <w:rPr>
          <w:rFonts w:ascii="Arial" w:hAnsi="Arial" w:cs="Arial"/>
        </w:rPr>
      </w:pPr>
      <w:r>
        <w:rPr>
          <w:rFonts w:ascii="Arial" w:hAnsi="Arial" w:cs="Arial"/>
        </w:rPr>
      </w:r>
      <w:r>
        <w:rPr>
          <w:rFonts w:ascii="Arial" w:hAnsi="Arial" w:cs="Arial"/>
        </w:rPr>
      </w:r>
    </w:p>
    <w:p w14:paraId="7D00EF3A" w14:textId="77777777">
      <w:pPr>
        <w:pBdr/>
        <w:spacing/>
        <w:ind/>
        <w:jc w:val="both"/>
        <w:rPr>
          <w:rFonts w:ascii="Arial" w:hAnsi="Arial" w:cs="Arial"/>
          <w:color w:val="000000"/>
        </w:rPr>
      </w:pPr>
      <w:r>
        <w:rPr>
          <w:rFonts w:ascii="Arial" w:hAnsi="Arial" w:cs="Arial"/>
          <w:b/>
          <w:color w:val="000000"/>
        </w:rPr>
        <w:t xml:space="preserve">31.13.</w:t>
      </w:r>
      <w:r>
        <w:rPr>
          <w:rFonts w:ascii="Arial" w:hAnsi="Arial" w:cs="Arial"/>
          <w:color w:val="000000"/>
        </w:rPr>
        <w:t xml:space="preserve"> Para dirimir as questões oriundas do presente Edital, não resolvidas na esfera administrativa, é competente o Foro da Comarca de Rondonópolis, por mais privilegiado que outro seja.</w:t>
      </w:r>
      <w:r>
        <w:rPr>
          <w:rFonts w:ascii="Arial" w:hAnsi="Arial" w:cs="Arial"/>
          <w:color w:val="000000"/>
        </w:rPr>
      </w:r>
    </w:p>
    <w:p w14:paraId="27E66C99" w14:textId="77777777">
      <w:pPr>
        <w:pBdr/>
        <w:spacing/>
        <w:ind/>
        <w:jc w:val="both"/>
        <w:rPr>
          <w:rFonts w:ascii="Arial" w:hAnsi="Arial" w:cs="Arial"/>
          <w:b/>
          <w:color w:val="000000"/>
        </w:rPr>
      </w:pPr>
      <w:r>
        <w:rPr>
          <w:rFonts w:ascii="Arial" w:hAnsi="Arial" w:cs="Arial"/>
          <w:b/>
          <w:color w:val="000000"/>
        </w:rPr>
      </w:r>
      <w:r>
        <w:rPr>
          <w:rFonts w:ascii="Arial" w:hAnsi="Arial" w:cs="Arial"/>
          <w:b/>
          <w:color w:val="000000"/>
        </w:rPr>
      </w:r>
    </w:p>
    <w:p w14:paraId="4DE0EC0B" w14:textId="77777777">
      <w:pPr>
        <w:pStyle w:val="882"/>
        <w:pBdr/>
        <w:spacing w:after="0" w:before="0"/>
        <w:ind/>
        <w:rPr>
          <w:sz w:val="20"/>
          <w:szCs w:val="20"/>
          <w:lang w:val="pt-BR"/>
        </w:rPr>
      </w:pPr>
      <w:r/>
      <w:bookmarkStart w:id="39" w:name="__RefHeading___Toc190782033"/>
      <w:r>
        <w:rPr>
          <w:rFonts w:eastAsia="SimSun"/>
          <w:sz w:val="20"/>
          <w:szCs w:val="20"/>
          <w:lang w:val="pt-BR"/>
        </w:rPr>
        <w:t xml:space="preserve">32. INTEGRAM ESTE EDITAL, PARA TODOS OS FINS E EFEITOS, OS SEGUINTES ANEXOS:</w:t>
      </w:r>
      <w:bookmarkEnd w:id="39"/>
      <w:r>
        <w:rPr>
          <w:rFonts w:eastAsia="SimSun"/>
          <w:sz w:val="20"/>
          <w:szCs w:val="20"/>
          <w:lang w:val="pt-BR"/>
        </w:rPr>
        <w:t xml:space="preserve"> </w:t>
      </w:r>
      <w:r>
        <w:rPr>
          <w:sz w:val="20"/>
          <w:szCs w:val="20"/>
          <w:lang w:val="pt-BR"/>
        </w:rPr>
      </w:r>
    </w:p>
    <w:p w14:paraId="48CC4041" w14:textId="77777777">
      <w:pPr>
        <w:pBdr/>
        <w:spacing/>
        <w:ind/>
        <w:jc w:val="both"/>
        <w:rPr>
          <w:rFonts w:ascii="Arial" w:hAnsi="Arial" w:eastAsia="SimSun" w:cs="Arial"/>
          <w:b/>
        </w:rPr>
      </w:pPr>
      <w:r>
        <w:rPr>
          <w:rFonts w:ascii="Arial" w:hAnsi="Arial" w:eastAsia="SimSun" w:cs="Arial"/>
          <w:b/>
        </w:rPr>
      </w:r>
      <w:r>
        <w:rPr>
          <w:rFonts w:ascii="Arial" w:hAnsi="Arial" w:eastAsia="SimSun" w:cs="Arial"/>
          <w:b/>
        </w:rPr>
      </w:r>
    </w:p>
    <w:p w14:paraId="5EC9EAC8" w14:textId="77777777">
      <w:pPr>
        <w:pBdr/>
        <w:spacing/>
        <w:ind/>
        <w:jc w:val="both"/>
        <w:rPr>
          <w:rFonts w:ascii="Arial" w:hAnsi="Arial" w:cs="Arial"/>
        </w:rPr>
      </w:pPr>
      <w:r>
        <w:rPr>
          <w:rFonts w:ascii="Arial" w:hAnsi="Arial" w:cs="Arial"/>
          <w:b/>
        </w:rPr>
        <w:t xml:space="preserve">32.1.</w:t>
      </w:r>
      <w:r>
        <w:rPr>
          <w:rFonts w:ascii="Arial" w:hAnsi="Arial" w:cs="Arial"/>
        </w:rPr>
        <w:t xml:space="preserve"> ANEXO I - </w:t>
      </w:r>
      <w:r>
        <w:rPr>
          <w:rFonts w:ascii="Arial" w:hAnsi="Arial" w:eastAsia="SimSun" w:cs="Arial"/>
          <w:b/>
        </w:rPr>
        <w:t xml:space="preserve">TERMO DE REFERÊNCIA</w:t>
      </w:r>
      <w:r>
        <w:rPr>
          <w:rFonts w:ascii="Arial" w:hAnsi="Arial" w:cs="Arial"/>
        </w:rPr>
      </w:r>
    </w:p>
    <w:p w14:paraId="0340ED73" w14:textId="77777777">
      <w:pPr>
        <w:pBdr/>
        <w:spacing/>
        <w:ind/>
        <w:jc w:val="both"/>
        <w:rPr>
          <w:rFonts w:ascii="Arial" w:hAnsi="Arial" w:cs="Arial"/>
        </w:rPr>
      </w:pPr>
      <w:r>
        <w:rPr>
          <w:rFonts w:ascii="Arial" w:hAnsi="Arial" w:cs="Arial"/>
        </w:rPr>
      </w:r>
      <w:r>
        <w:rPr>
          <w:rFonts w:ascii="Arial" w:hAnsi="Arial" w:cs="Arial"/>
        </w:rPr>
      </w:r>
    </w:p>
    <w:p w14:paraId="6CE212BE" w14:textId="77777777">
      <w:pPr>
        <w:pBdr/>
        <w:spacing/>
        <w:ind/>
        <w:jc w:val="both"/>
        <w:rPr/>
      </w:pPr>
      <w:r>
        <w:rPr>
          <w:rFonts w:ascii="Arial" w:hAnsi="Arial" w:cs="Arial"/>
          <w:b/>
        </w:rPr>
        <w:t xml:space="preserve">32.2.</w:t>
      </w:r>
      <w:r>
        <w:rPr>
          <w:rFonts w:ascii="Arial" w:hAnsi="Arial" w:cs="Arial"/>
        </w:rPr>
        <w:t xml:space="preserve"> ANEXO II – </w:t>
      </w:r>
      <w:r>
        <w:rPr>
          <w:rFonts w:ascii="Arial" w:hAnsi="Arial" w:cs="Arial"/>
          <w:b/>
        </w:rPr>
        <w:t xml:space="preserve">MINUTA DA ATA DE REGISTRO DE PREÇOS</w:t>
      </w:r>
      <w:r>
        <w:rPr>
          <w:rFonts w:ascii="Arial" w:hAnsi="Arial" w:eastAsia="SimSun" w:cs="Arial"/>
          <w:b/>
        </w:rPr>
        <w:t xml:space="preserve">; </w:t>
      </w:r>
      <w:r/>
    </w:p>
    <w:p w14:paraId="37F5E52F" w14:textId="77777777">
      <w:pPr>
        <w:pBdr/>
        <w:spacing/>
        <w:ind/>
        <w:jc w:val="both"/>
        <w:rPr>
          <w:rFonts w:ascii="Arial" w:hAnsi="Arial" w:eastAsia="SimSun" w:cs="Arial"/>
          <w:b/>
        </w:rPr>
      </w:pPr>
      <w:r>
        <w:rPr>
          <w:rFonts w:ascii="Arial" w:hAnsi="Arial" w:eastAsia="SimSun" w:cs="Arial"/>
          <w:b/>
        </w:rPr>
      </w:r>
      <w:r>
        <w:rPr>
          <w:rFonts w:ascii="Arial" w:hAnsi="Arial" w:eastAsia="SimSun" w:cs="Arial"/>
          <w:b/>
        </w:rPr>
      </w:r>
    </w:p>
    <w:p w14:paraId="6F6604AD" w14:textId="77777777">
      <w:pPr>
        <w:pBdr/>
        <w:spacing/>
        <w:ind/>
        <w:jc w:val="both"/>
        <w:rPr/>
      </w:pPr>
      <w:r>
        <w:rPr>
          <w:rFonts w:ascii="Arial" w:hAnsi="Arial" w:cs="Arial"/>
          <w:b/>
        </w:rPr>
        <w:t xml:space="preserve">32.3.</w:t>
      </w:r>
      <w:r>
        <w:rPr>
          <w:rFonts w:ascii="Arial" w:hAnsi="Arial" w:cs="Arial"/>
        </w:rPr>
        <w:t xml:space="preserve"> ANEXO III – </w:t>
      </w:r>
      <w:r>
        <w:rPr>
          <w:rFonts w:ascii="Arial" w:hAnsi="Arial" w:cs="Arial"/>
          <w:b/>
        </w:rPr>
        <w:t xml:space="preserve">MINUTA DO CONTRATO;</w:t>
      </w:r>
      <w:r/>
    </w:p>
    <w:p w14:paraId="37CE616D" w14:textId="77777777">
      <w:pPr>
        <w:pBdr/>
        <w:spacing/>
        <w:ind/>
        <w:jc w:val="both"/>
        <w:rPr>
          <w:rFonts w:ascii="Arial" w:hAnsi="Arial" w:cs="Arial"/>
        </w:rPr>
      </w:pPr>
      <w:r>
        <w:rPr>
          <w:rFonts w:ascii="Arial" w:hAnsi="Arial" w:cs="Arial"/>
        </w:rPr>
      </w:r>
      <w:r>
        <w:rPr>
          <w:rFonts w:ascii="Arial" w:hAnsi="Arial" w:cs="Arial"/>
        </w:rPr>
      </w:r>
    </w:p>
    <w:p w14:paraId="037C60C0" w14:textId="77777777">
      <w:pPr>
        <w:pBdr/>
        <w:spacing/>
        <w:ind/>
        <w:jc w:val="both"/>
        <w:rPr/>
      </w:pPr>
      <w:r>
        <w:rPr>
          <w:rFonts w:ascii="Arial" w:hAnsi="Arial" w:cs="Arial"/>
          <w:b/>
        </w:rPr>
        <w:t xml:space="preserve">32.4.</w:t>
      </w:r>
      <w:r>
        <w:rPr>
          <w:rFonts w:ascii="Arial" w:hAnsi="Arial" w:cs="Arial"/>
        </w:rPr>
        <w:t xml:space="preserve"> ANEXO IV – </w:t>
      </w:r>
      <w:r>
        <w:rPr>
          <w:rFonts w:ascii="Arial" w:hAnsi="Arial" w:cs="Arial"/>
          <w:b/>
          <w:bCs/>
        </w:rPr>
        <w:t xml:space="preserve">MODELO DE PROPOSTA COMERCIAL</w:t>
      </w:r>
      <w:r>
        <w:rPr>
          <w:rFonts w:ascii="Arial" w:hAnsi="Arial" w:cs="Arial"/>
          <w:b/>
        </w:rPr>
        <w:t xml:space="preserve">;</w:t>
      </w:r>
      <w:r/>
    </w:p>
    <w:p w14:paraId="55986A88" w14:textId="77777777">
      <w:pPr>
        <w:pBdr/>
        <w:spacing/>
        <w:ind/>
        <w:jc w:val="both"/>
        <w:rPr>
          <w:rFonts w:ascii="Arial" w:hAnsi="Arial" w:cs="Arial"/>
          <w:b/>
        </w:rPr>
      </w:pPr>
      <w:r>
        <w:rPr>
          <w:rFonts w:ascii="Arial" w:hAnsi="Arial" w:cs="Arial"/>
          <w:b/>
        </w:rPr>
      </w:r>
      <w:r>
        <w:rPr>
          <w:rFonts w:ascii="Arial" w:hAnsi="Arial" w:cs="Arial"/>
          <w:b/>
        </w:rPr>
      </w:r>
    </w:p>
    <w:p w14:paraId="533BD9DE" w14:textId="77777777">
      <w:pPr>
        <w:pBdr/>
        <w:spacing/>
        <w:ind/>
        <w:jc w:val="both"/>
        <w:rPr/>
      </w:pPr>
      <w:r>
        <w:rPr>
          <w:rFonts w:ascii="Arial" w:hAnsi="Arial" w:cs="Arial"/>
          <w:b/>
        </w:rPr>
        <w:t xml:space="preserve">32.5.</w:t>
      </w:r>
      <w:r>
        <w:rPr>
          <w:rFonts w:ascii="Arial" w:hAnsi="Arial" w:cs="Arial"/>
        </w:rPr>
        <w:t xml:space="preserve"> ANEXO V – </w:t>
      </w:r>
      <w:r>
        <w:rPr>
          <w:rFonts w:ascii="Arial" w:hAnsi="Arial" w:cs="Arial"/>
          <w:b/>
        </w:rPr>
        <w:t xml:space="preserve">MODELO DE DECLARAÇÕES (HABILITAÇÃO)</w:t>
      </w:r>
      <w:r>
        <w:rPr>
          <w:rFonts w:ascii="Arial" w:hAnsi="Arial" w:cs="Arial"/>
        </w:rPr>
        <w:t xml:space="preserve">;</w:t>
      </w:r>
      <w:r/>
    </w:p>
    <w:p w14:paraId="3A21FA28" w14:textId="77777777">
      <w:pPr>
        <w:pBdr/>
        <w:spacing/>
        <w:ind/>
        <w:jc w:val="both"/>
        <w:rPr>
          <w:rFonts w:ascii="Arial" w:hAnsi="Arial" w:cs="Arial"/>
        </w:rPr>
      </w:pPr>
      <w:r>
        <w:rPr>
          <w:rFonts w:ascii="Arial" w:hAnsi="Arial" w:cs="Arial"/>
        </w:rPr>
      </w:r>
      <w:r>
        <w:rPr>
          <w:rFonts w:ascii="Arial" w:hAnsi="Arial" w:cs="Arial"/>
        </w:rPr>
      </w:r>
    </w:p>
    <w:p w14:paraId="4486A892" w14:textId="77777777">
      <w:pPr>
        <w:pBdr/>
        <w:spacing/>
        <w:ind/>
        <w:jc w:val="both"/>
        <w:rPr/>
      </w:pPr>
      <w:r>
        <w:rPr>
          <w:rFonts w:ascii="Arial" w:hAnsi="Arial" w:cs="Arial"/>
          <w:b/>
        </w:rPr>
        <w:t xml:space="preserve">32.6.</w:t>
      </w:r>
      <w:r>
        <w:rPr>
          <w:rFonts w:ascii="Arial" w:hAnsi="Arial" w:cs="Arial"/>
        </w:rPr>
        <w:t xml:space="preserve"> ANEXO VI – </w:t>
      </w:r>
      <w:r>
        <w:rPr>
          <w:rFonts w:ascii="Arial" w:hAnsi="Arial" w:cs="Arial"/>
          <w:b/>
        </w:rPr>
        <w:t xml:space="preserve">MODELO DE DECLARAÇÃO (PARA ME E EPP);</w:t>
      </w:r>
      <w:r/>
    </w:p>
    <w:p w14:paraId="7CFDD349" w14:textId="77777777">
      <w:pPr>
        <w:pBdr/>
        <w:spacing/>
        <w:ind/>
        <w:jc w:val="both"/>
        <w:rPr>
          <w:rFonts w:ascii="Arial" w:hAnsi="Arial" w:cs="Arial"/>
          <w:b/>
        </w:rPr>
      </w:pPr>
      <w:r>
        <w:rPr>
          <w:rFonts w:ascii="Arial" w:hAnsi="Arial" w:cs="Arial"/>
          <w:b/>
        </w:rPr>
      </w:r>
      <w:r>
        <w:rPr>
          <w:rFonts w:ascii="Arial" w:hAnsi="Arial" w:cs="Arial"/>
          <w:b/>
        </w:rPr>
      </w:r>
    </w:p>
    <w:p w14:paraId="309F8717" w14:textId="77777777">
      <w:pPr>
        <w:pBdr/>
        <w:spacing/>
        <w:ind/>
        <w:jc w:val="both"/>
        <w:rPr>
          <w:rFonts w:ascii="Arial" w:hAnsi="Arial" w:cs="Arial"/>
          <w:b/>
        </w:rPr>
      </w:pPr>
      <w:r>
        <w:rPr>
          <w:rFonts w:ascii="Arial" w:hAnsi="Arial" w:cs="Arial"/>
          <w:b/>
        </w:rPr>
        <w:t xml:space="preserve">32.7.</w:t>
      </w:r>
      <w:r>
        <w:rPr>
          <w:rFonts w:ascii="Arial" w:hAnsi="Arial" w:cs="Arial"/>
        </w:rPr>
        <w:t xml:space="preserve"> ANEXO VII – </w:t>
      </w:r>
      <w:r>
        <w:rPr>
          <w:rFonts w:ascii="Arial" w:hAnsi="Arial" w:cs="Arial"/>
          <w:b/>
        </w:rPr>
        <w:t xml:space="preserve">ANEXO FORMAÇÃO DE PREÇOS.</w:t>
      </w:r>
      <w:r>
        <w:rPr>
          <w:rFonts w:ascii="Arial" w:hAnsi="Arial" w:cs="Arial"/>
          <w:b/>
        </w:rPr>
      </w:r>
    </w:p>
    <w:p w14:paraId="730E42A9" w14:textId="77777777">
      <w:pPr>
        <w:pBdr/>
        <w:spacing/>
        <w:ind/>
        <w:jc w:val="right"/>
        <w:rPr>
          <w:rFonts w:ascii="Arial" w:hAnsi="Arial" w:cs="Arial"/>
        </w:rPr>
      </w:pPr>
      <w:r>
        <w:rPr>
          <w:rFonts w:ascii="Arial" w:hAnsi="Arial" w:cs="Arial"/>
        </w:rPr>
        <w:t xml:space="preserve">Rondonópolis-MT, 12 de fevereiro de 2026.</w:t>
      </w:r>
      <w:r>
        <w:rPr>
          <w:rFonts w:ascii="Arial" w:hAnsi="Arial" w:cs="Arial"/>
        </w:rPr>
      </w:r>
    </w:p>
    <w:p w14:paraId="05204E46" w14:textId="77777777">
      <w:pPr>
        <w:pBdr/>
        <w:spacing/>
        <w:ind/>
        <w:jc w:val="right"/>
        <w:rPr>
          <w:rFonts w:ascii="Arial" w:hAnsi="Arial" w:cs="Arial"/>
        </w:rPr>
      </w:pPr>
      <w:r>
        <w:rPr>
          <w:rFonts w:ascii="Arial" w:hAnsi="Arial" w:cs="Arial"/>
        </w:rPr>
      </w:r>
      <w:r>
        <w:rPr>
          <w:rFonts w:ascii="Arial" w:hAnsi="Arial" w:cs="Arial"/>
        </w:rPr>
      </w:r>
    </w:p>
    <w:p w14:paraId="43679717" w14:textId="77777777">
      <w:pPr>
        <w:pBdr/>
        <w:spacing/>
        <w:ind/>
        <w:jc w:val="right"/>
        <w:rPr>
          <w:rFonts w:ascii="Arial" w:hAnsi="Arial" w:cs="Arial"/>
        </w:rPr>
      </w:pPr>
      <w:r>
        <w:rPr>
          <w:rFonts w:ascii="Arial" w:hAnsi="Arial" w:cs="Arial"/>
        </w:rPr>
      </w:r>
      <w:r>
        <w:rPr>
          <w:rFonts w:ascii="Arial" w:hAnsi="Arial" w:cs="Arial"/>
        </w:rPr>
      </w:r>
    </w:p>
    <w:p w14:paraId="781C2804" w14:textId="77777777">
      <w:pPr>
        <w:pBdr/>
        <w:spacing/>
        <w:ind/>
        <w:jc w:val="right"/>
        <w:rPr>
          <w:rFonts w:ascii="Arial" w:hAnsi="Arial" w:cs="Arial"/>
        </w:rPr>
      </w:pPr>
      <w:r>
        <w:rPr>
          <w:rFonts w:ascii="Arial" w:hAnsi="Arial" w:cs="Arial"/>
        </w:rPr>
      </w:r>
      <w:r>
        <w:rPr>
          <w:rFonts w:ascii="Arial" w:hAnsi="Arial" w:cs="Arial"/>
        </w:rPr>
      </w:r>
    </w:p>
    <w:p w14:paraId="6B381969" w14:textId="77777777">
      <w:pPr>
        <w:pBdr/>
        <w:spacing/>
        <w:ind/>
        <w:jc w:val="right"/>
        <w:rPr>
          <w:rFonts w:ascii="Arial" w:hAnsi="Arial" w:cs="Arial"/>
        </w:rPr>
      </w:pPr>
      <w:r>
        <w:rPr>
          <w:rFonts w:ascii="Arial" w:hAnsi="Arial" w:cs="Arial"/>
        </w:rPr>
      </w:r>
      <w:r>
        <w:rPr>
          <w:rFonts w:ascii="Arial" w:hAnsi="Arial" w:cs="Arial"/>
        </w:rPr>
      </w:r>
    </w:p>
    <w:p w14:paraId="6233CA01" w14:textId="77777777">
      <w:pPr>
        <w:pBdr/>
        <w:tabs>
          <w:tab w:val="right" w:leader="none" w:pos="9072"/>
        </w:tabs>
        <w:spacing/>
        <w:ind/>
        <w:rPr>
          <w:rFonts w:ascii="Arial" w:hAnsi="Arial" w:cs="Arial"/>
          <w:b/>
        </w:rPr>
      </w:pPr>
      <w:r>
        <w:rPr>
          <w:rFonts w:ascii="Arial" w:hAnsi="Arial" w:cs="Arial"/>
          <w:b/>
        </w:rPr>
      </w:r>
      <w:r>
        <w:rPr>
          <w:rFonts w:ascii="Arial" w:hAnsi="Arial" w:cs="Arial"/>
          <w:b/>
        </w:rPr>
      </w:r>
    </w:p>
    <w:p w14:paraId="77D961C0" w14:textId="77777777">
      <w:pPr>
        <w:pBdr/>
        <w:tabs>
          <w:tab w:val="right" w:leader="none" w:pos="9072"/>
        </w:tabs>
        <w:spacing/>
        <w:ind/>
        <w:jc w:val="center"/>
        <w:rPr>
          <w:rFonts w:ascii="Arial" w:hAnsi="Arial" w:cs="Arial"/>
        </w:rPr>
      </w:pPr>
      <w:r>
        <w:rPr>
          <w:rFonts w:ascii="Arial" w:hAnsi="Arial" w:cs="Arial"/>
          <w:b/>
        </w:rPr>
        <w:t xml:space="preserve">RAFAELLY PRISCILA REZENDE DE ALMEIDA</w:t>
      </w:r>
      <w:r>
        <w:rPr>
          <w:rFonts w:ascii="Arial" w:hAnsi="Arial" w:cs="Arial"/>
        </w:rPr>
      </w:r>
    </w:p>
    <w:p w14:paraId="6987F756" w14:textId="77777777">
      <w:pPr>
        <w:pBdr/>
        <w:tabs>
          <w:tab w:val="right" w:leader="none" w:pos="9072"/>
        </w:tabs>
        <w:spacing/>
        <w:ind/>
        <w:jc w:val="center"/>
        <w:rPr>
          <w:rFonts w:ascii="Arial" w:hAnsi="Arial" w:cs="Arial"/>
        </w:rPr>
      </w:pPr>
      <w:r>
        <w:rPr>
          <w:rFonts w:ascii="Arial" w:hAnsi="Arial" w:cs="Arial"/>
        </w:rPr>
        <w:t xml:space="preserve">Superintendente do Departamento de Compras</w:t>
      </w:r>
      <w:r>
        <w:rPr>
          <w:rFonts w:ascii="Arial" w:hAnsi="Arial" w:cs="Arial"/>
        </w:rPr>
      </w:r>
    </w:p>
    <w:p w14:paraId="2028905C" w14:textId="77777777">
      <w:pPr>
        <w:pBdr/>
        <w:tabs>
          <w:tab w:val="right" w:leader="none" w:pos="9072"/>
        </w:tabs>
        <w:spacing/>
        <w:ind/>
        <w:rPr>
          <w:rFonts w:ascii="Arial" w:hAnsi="Arial" w:cs="Arial"/>
        </w:rPr>
      </w:pPr>
      <w:r>
        <w:rPr>
          <w:rFonts w:ascii="Arial" w:hAnsi="Arial" w:cs="Arial"/>
        </w:rPr>
      </w:r>
      <w:r>
        <w:rPr>
          <w:rFonts w:ascii="Arial" w:hAnsi="Arial" w:cs="Arial"/>
        </w:rPr>
      </w:r>
    </w:p>
    <w:p w14:paraId="4F36E566" w14:textId="77777777">
      <w:pPr>
        <w:pBdr/>
        <w:tabs>
          <w:tab w:val="right" w:leader="none" w:pos="9072"/>
        </w:tabs>
        <w:spacing/>
        <w:ind/>
        <w:rPr>
          <w:rFonts w:ascii="Arial" w:hAnsi="Arial" w:cs="Arial"/>
        </w:rPr>
      </w:pPr>
      <w:r>
        <w:rPr>
          <w:rFonts w:ascii="Arial" w:hAnsi="Arial" w:cs="Arial"/>
        </w:rPr>
      </w:r>
      <w:r>
        <w:rPr>
          <w:rFonts w:ascii="Arial" w:hAnsi="Arial" w:cs="Arial"/>
        </w:rPr>
      </w:r>
    </w:p>
    <w:p w14:paraId="080B5AF1" w14:textId="77777777">
      <w:pPr>
        <w:pBdr/>
        <w:tabs>
          <w:tab w:val="right" w:leader="none" w:pos="9072"/>
        </w:tabs>
        <w:spacing/>
        <w:ind/>
        <w:rPr>
          <w:rFonts w:ascii="Arial" w:hAnsi="Arial" w:cs="Arial"/>
        </w:rPr>
      </w:pPr>
      <w:r>
        <w:rPr>
          <w:rFonts w:ascii="Arial" w:hAnsi="Arial" w:cs="Arial"/>
        </w:rPr>
      </w:r>
      <w:r>
        <w:rPr>
          <w:rFonts w:ascii="Arial" w:hAnsi="Arial" w:cs="Arial"/>
        </w:rPr>
      </w:r>
    </w:p>
    <w:p w14:paraId="36AC7DB5" w14:textId="77777777">
      <w:pPr>
        <w:pBdr/>
        <w:tabs>
          <w:tab w:val="right" w:leader="none" w:pos="9072"/>
        </w:tabs>
        <w:spacing/>
        <w:ind/>
        <w:rPr>
          <w:rFonts w:ascii="Arial" w:hAnsi="Arial" w:cs="Arial"/>
        </w:rPr>
      </w:pPr>
      <w:r>
        <w:rPr>
          <w:rFonts w:ascii="Arial" w:hAnsi="Arial" w:cs="Arial"/>
        </w:rPr>
      </w:r>
      <w:r>
        <w:rPr>
          <w:rFonts w:ascii="Arial" w:hAnsi="Arial" w:cs="Arial"/>
        </w:rPr>
      </w:r>
    </w:p>
    <w:p w14:paraId="125F5E66" w14:textId="77777777">
      <w:pPr>
        <w:pBdr/>
        <w:tabs>
          <w:tab w:val="right" w:leader="none" w:pos="9072"/>
        </w:tabs>
        <w:spacing/>
        <w:ind/>
        <w:rPr>
          <w:rFonts w:ascii="Arial" w:hAnsi="Arial" w:cs="Arial"/>
        </w:rPr>
      </w:pPr>
      <w:r>
        <w:rPr>
          <w:rFonts w:ascii="Arial" w:hAnsi="Arial" w:cs="Arial"/>
        </w:rPr>
      </w:r>
      <w:r>
        <w:rPr>
          <w:rFonts w:ascii="Arial" w:hAnsi="Arial" w:cs="Arial"/>
        </w:rPr>
      </w:r>
    </w:p>
    <w:p w14:paraId="6FB53A21" w14:textId="77777777">
      <w:pPr>
        <w:pBdr/>
        <w:tabs>
          <w:tab w:val="right" w:leader="none" w:pos="9072"/>
        </w:tabs>
        <w:spacing/>
        <w:ind/>
        <w:rPr>
          <w:rFonts w:ascii="Arial" w:hAnsi="Arial" w:cs="Arial"/>
        </w:rPr>
      </w:pPr>
      <w:r>
        <w:rPr>
          <w:rFonts w:ascii="Arial" w:hAnsi="Arial" w:cs="Arial"/>
        </w:rPr>
      </w:r>
      <w:r>
        <w:rPr>
          <w:rFonts w:ascii="Arial" w:hAnsi="Arial" w:cs="Arial"/>
        </w:rPr>
      </w:r>
    </w:p>
    <w:p w14:paraId="16840458" w14:textId="77777777">
      <w:pPr>
        <w:pBdr/>
        <w:tabs>
          <w:tab w:val="right" w:leader="none" w:pos="9072"/>
        </w:tabs>
        <w:spacing/>
        <w:ind/>
        <w:rPr>
          <w:rFonts w:ascii="Arial" w:hAnsi="Arial" w:cs="Arial"/>
        </w:rPr>
      </w:pPr>
      <w:r>
        <w:rPr>
          <w:rFonts w:ascii="Arial" w:hAnsi="Arial" w:cs="Arial"/>
        </w:rPr>
      </w:r>
      <w:r>
        <w:rPr>
          <w:rFonts w:ascii="Arial" w:hAnsi="Arial" w:cs="Arial"/>
        </w:rPr>
      </w:r>
    </w:p>
    <w:p w14:paraId="61A75D4A" w14:textId="77777777">
      <w:pPr>
        <w:pBdr/>
        <w:tabs>
          <w:tab w:val="right" w:leader="none" w:pos="9072"/>
        </w:tabs>
        <w:spacing/>
        <w:ind/>
        <w:rPr>
          <w:rFonts w:ascii="Arial" w:hAnsi="Arial" w:cs="Arial"/>
        </w:rPr>
      </w:pPr>
      <w:r>
        <w:rPr>
          <w:rFonts w:ascii="Arial" w:hAnsi="Arial" w:cs="Arial"/>
        </w:rPr>
      </w:r>
      <w:r>
        <w:rPr>
          <w:rFonts w:ascii="Arial" w:hAnsi="Arial" w:cs="Arial"/>
        </w:rPr>
      </w:r>
    </w:p>
    <w:p w14:paraId="6CB2B7FF" w14:textId="77777777">
      <w:pPr>
        <w:pBdr/>
        <w:tabs>
          <w:tab w:val="right" w:leader="none" w:pos="9072"/>
        </w:tabs>
        <w:spacing/>
        <w:ind/>
        <w:rPr>
          <w:rFonts w:ascii="Arial" w:hAnsi="Arial" w:cs="Arial"/>
        </w:rPr>
      </w:pPr>
      <w:r>
        <w:rPr>
          <w:rFonts w:ascii="Arial" w:hAnsi="Arial" w:cs="Arial"/>
        </w:rPr>
      </w:r>
      <w:r>
        <w:rPr>
          <w:rFonts w:ascii="Arial" w:hAnsi="Arial" w:cs="Arial"/>
        </w:rPr>
      </w:r>
    </w:p>
    <w:p w14:paraId="1F49A2DB" w14:textId="77777777">
      <w:pPr>
        <w:pBdr/>
        <w:tabs>
          <w:tab w:val="right" w:leader="none" w:pos="9072"/>
        </w:tabs>
        <w:spacing/>
        <w:ind/>
        <w:rPr>
          <w:rFonts w:ascii="Arial" w:hAnsi="Arial" w:cs="Arial"/>
        </w:rPr>
      </w:pPr>
      <w:r>
        <w:rPr>
          <w:rFonts w:ascii="Arial" w:hAnsi="Arial" w:cs="Arial"/>
        </w:rPr>
      </w:r>
      <w:r>
        <w:rPr>
          <w:rFonts w:ascii="Arial" w:hAnsi="Arial" w:cs="Arial"/>
        </w:rPr>
      </w:r>
    </w:p>
    <w:p w14:paraId="66F970B7" w14:textId="77777777">
      <w:pPr>
        <w:pBdr/>
        <w:tabs>
          <w:tab w:val="right" w:leader="none" w:pos="9072"/>
        </w:tabs>
        <w:spacing/>
        <w:ind/>
        <w:rPr>
          <w:rFonts w:ascii="Arial" w:hAnsi="Arial" w:cs="Arial"/>
        </w:rPr>
      </w:pPr>
      <w:r>
        <w:rPr>
          <w:rFonts w:ascii="Arial" w:hAnsi="Arial" w:cs="Arial"/>
        </w:rPr>
      </w:r>
      <w:r>
        <w:rPr>
          <w:rFonts w:ascii="Arial" w:hAnsi="Arial" w:cs="Arial"/>
        </w:rPr>
      </w:r>
    </w:p>
    <w:p w14:paraId="0A660F6D" w14:textId="77777777">
      <w:pPr>
        <w:pBdr/>
        <w:tabs>
          <w:tab w:val="right" w:leader="none" w:pos="9072"/>
        </w:tabs>
        <w:spacing/>
        <w:ind/>
        <w:rPr>
          <w:rFonts w:ascii="Arial" w:hAnsi="Arial" w:cs="Arial"/>
        </w:rPr>
      </w:pPr>
      <w:r>
        <w:rPr>
          <w:rFonts w:ascii="Arial" w:hAnsi="Arial" w:cs="Arial"/>
        </w:rPr>
      </w:r>
      <w:r>
        <w:rPr>
          <w:rFonts w:ascii="Arial" w:hAnsi="Arial" w:cs="Arial"/>
        </w:rPr>
      </w:r>
    </w:p>
    <w:p w14:paraId="086A6E24" w14:textId="77777777">
      <w:pPr>
        <w:pBdr/>
        <w:tabs>
          <w:tab w:val="right" w:leader="none" w:pos="9072"/>
        </w:tabs>
        <w:spacing/>
        <w:ind/>
        <w:rPr>
          <w:rFonts w:ascii="Arial" w:hAnsi="Arial" w:cs="Arial"/>
        </w:rPr>
      </w:pPr>
      <w:r>
        <w:rPr>
          <w:rFonts w:ascii="Arial" w:hAnsi="Arial" w:cs="Arial"/>
        </w:rPr>
      </w:r>
      <w:r>
        <w:rPr>
          <w:rFonts w:ascii="Arial" w:hAnsi="Arial" w:cs="Arial"/>
        </w:rPr>
      </w:r>
    </w:p>
    <w:p w14:paraId="76100EA0" w14:textId="77777777">
      <w:pPr>
        <w:pBdr/>
        <w:tabs>
          <w:tab w:val="right" w:leader="none" w:pos="9072"/>
        </w:tabs>
        <w:spacing/>
        <w:ind/>
        <w:rPr>
          <w:rFonts w:ascii="Arial" w:hAnsi="Arial" w:cs="Arial"/>
        </w:rPr>
      </w:pPr>
      <w:r>
        <w:rPr>
          <w:rFonts w:ascii="Arial" w:hAnsi="Arial" w:cs="Arial"/>
        </w:rPr>
      </w:r>
      <w:r>
        <w:rPr>
          <w:rFonts w:ascii="Arial" w:hAnsi="Arial" w:cs="Arial"/>
        </w:rPr>
      </w:r>
    </w:p>
    <w:p w14:paraId="610E0F20" w14:textId="77777777">
      <w:pPr>
        <w:pBdr/>
        <w:tabs>
          <w:tab w:val="right" w:leader="none" w:pos="9072"/>
        </w:tabs>
        <w:spacing/>
        <w:ind/>
        <w:rPr>
          <w:rFonts w:ascii="Arial" w:hAnsi="Arial" w:cs="Arial"/>
        </w:rPr>
      </w:pPr>
      <w:r>
        <w:rPr>
          <w:rFonts w:ascii="Arial" w:hAnsi="Arial" w:cs="Arial"/>
        </w:rPr>
      </w:r>
      <w:r>
        <w:rPr>
          <w:rFonts w:ascii="Arial" w:hAnsi="Arial" w:cs="Arial"/>
        </w:rPr>
      </w:r>
    </w:p>
    <w:p w14:paraId="73673A54" w14:textId="77777777">
      <w:pPr>
        <w:pBdr/>
        <w:tabs>
          <w:tab w:val="right" w:leader="none" w:pos="9072"/>
        </w:tabs>
        <w:spacing/>
        <w:ind/>
        <w:rPr>
          <w:rFonts w:ascii="Arial" w:hAnsi="Arial" w:cs="Arial"/>
        </w:rPr>
      </w:pPr>
      <w:r>
        <w:rPr>
          <w:rFonts w:ascii="Arial" w:hAnsi="Arial" w:cs="Arial"/>
        </w:rPr>
      </w:r>
      <w:r>
        <w:rPr>
          <w:rFonts w:ascii="Arial" w:hAnsi="Arial" w:cs="Arial"/>
        </w:rPr>
      </w:r>
    </w:p>
    <w:p w14:paraId="5A35A472" w14:textId="77777777">
      <w:pPr>
        <w:pBdr/>
        <w:tabs>
          <w:tab w:val="right" w:leader="none" w:pos="9072"/>
        </w:tabs>
        <w:spacing/>
        <w:ind/>
        <w:rPr>
          <w:rFonts w:ascii="Arial" w:hAnsi="Arial" w:cs="Arial"/>
        </w:rPr>
      </w:pPr>
      <w:r>
        <w:rPr>
          <w:rFonts w:ascii="Arial" w:hAnsi="Arial" w:cs="Arial"/>
        </w:rPr>
      </w:r>
      <w:r>
        <w:rPr>
          <w:rFonts w:ascii="Arial" w:hAnsi="Arial" w:cs="Arial"/>
        </w:rPr>
      </w:r>
    </w:p>
    <w:p w14:paraId="56F29409" w14:textId="77777777">
      <w:pPr>
        <w:pBdr/>
        <w:tabs>
          <w:tab w:val="right" w:leader="none" w:pos="9072"/>
        </w:tabs>
        <w:spacing/>
        <w:ind/>
        <w:rPr>
          <w:rFonts w:ascii="Arial" w:hAnsi="Arial" w:cs="Arial"/>
        </w:rPr>
      </w:pPr>
      <w:r>
        <w:rPr>
          <w:rFonts w:ascii="Arial" w:hAnsi="Arial" w:cs="Arial"/>
        </w:rPr>
      </w:r>
      <w:r>
        <w:rPr>
          <w:rFonts w:ascii="Arial" w:hAnsi="Arial" w:cs="Arial"/>
        </w:rPr>
      </w:r>
    </w:p>
    <w:p w14:paraId="33260951" w14:textId="77777777">
      <w:pPr>
        <w:pBdr/>
        <w:tabs>
          <w:tab w:val="right" w:leader="none" w:pos="9072"/>
        </w:tabs>
        <w:spacing/>
        <w:ind/>
        <w:rPr>
          <w:rFonts w:ascii="Arial" w:hAnsi="Arial" w:cs="Arial"/>
        </w:rPr>
      </w:pPr>
      <w:r>
        <w:rPr>
          <w:rFonts w:ascii="Arial" w:hAnsi="Arial" w:cs="Arial"/>
        </w:rPr>
      </w:r>
      <w:r>
        <w:rPr>
          <w:rFonts w:ascii="Arial" w:hAnsi="Arial" w:cs="Arial"/>
        </w:rPr>
      </w:r>
    </w:p>
    <w:p w14:paraId="55403F6B" w14:textId="77777777">
      <w:pPr>
        <w:pBdr/>
        <w:tabs>
          <w:tab w:val="right" w:leader="none" w:pos="9072"/>
        </w:tabs>
        <w:spacing/>
        <w:ind/>
        <w:rPr>
          <w:rFonts w:ascii="Arial" w:hAnsi="Arial" w:cs="Arial"/>
        </w:rPr>
      </w:pPr>
      <w:r>
        <w:rPr>
          <w:rFonts w:ascii="Arial" w:hAnsi="Arial" w:cs="Arial"/>
        </w:rPr>
      </w:r>
      <w:r>
        <w:rPr>
          <w:rFonts w:ascii="Arial" w:hAnsi="Arial" w:cs="Arial"/>
        </w:rPr>
      </w:r>
    </w:p>
    <w:p w14:paraId="1CCDC14B" w14:textId="77777777">
      <w:pPr>
        <w:pBdr/>
        <w:tabs>
          <w:tab w:val="right" w:leader="none" w:pos="9072"/>
        </w:tabs>
        <w:spacing/>
        <w:ind/>
        <w:rPr>
          <w:rFonts w:ascii="Arial" w:hAnsi="Arial" w:cs="Arial"/>
        </w:rPr>
      </w:pPr>
      <w:r>
        <w:rPr>
          <w:rFonts w:ascii="Arial" w:hAnsi="Arial" w:cs="Arial"/>
        </w:rPr>
      </w:r>
      <w:r>
        <w:rPr>
          <w:rFonts w:ascii="Arial" w:hAnsi="Arial" w:cs="Arial"/>
        </w:rPr>
      </w:r>
    </w:p>
    <w:p w14:paraId="1C7D106C" w14:textId="77777777">
      <w:pPr>
        <w:pBdr/>
        <w:tabs>
          <w:tab w:val="right" w:leader="none" w:pos="9072"/>
        </w:tabs>
        <w:spacing/>
        <w:ind/>
        <w:rPr>
          <w:rFonts w:ascii="Arial" w:hAnsi="Arial" w:cs="Arial"/>
        </w:rPr>
      </w:pPr>
      <w:r>
        <w:rPr>
          <w:rFonts w:ascii="Arial" w:hAnsi="Arial" w:cs="Arial"/>
        </w:rPr>
      </w:r>
      <w:r>
        <w:rPr>
          <w:rFonts w:ascii="Arial" w:hAnsi="Arial" w:cs="Arial"/>
        </w:rPr>
      </w:r>
    </w:p>
    <w:p w14:paraId="04EBBF3A" w14:textId="77777777">
      <w:pPr>
        <w:pBdr/>
        <w:tabs>
          <w:tab w:val="right" w:leader="none" w:pos="9072"/>
        </w:tabs>
        <w:spacing/>
        <w:ind/>
        <w:rPr>
          <w:rFonts w:ascii="Arial" w:hAnsi="Arial" w:cs="Arial"/>
        </w:rPr>
      </w:pPr>
      <w:r>
        <w:rPr>
          <w:rFonts w:ascii="Arial" w:hAnsi="Arial" w:cs="Arial"/>
        </w:rPr>
      </w:r>
      <w:r>
        <w:rPr>
          <w:rFonts w:ascii="Arial" w:hAnsi="Arial" w:cs="Arial"/>
        </w:rPr>
      </w:r>
    </w:p>
    <w:p w14:paraId="6313CC31" w14:textId="77777777">
      <w:pPr>
        <w:pBdr/>
        <w:tabs>
          <w:tab w:val="right" w:leader="none" w:pos="9072"/>
        </w:tabs>
        <w:spacing/>
        <w:ind/>
        <w:rPr>
          <w:rFonts w:ascii="Arial" w:hAnsi="Arial" w:cs="Arial"/>
        </w:rPr>
      </w:pPr>
      <w:r>
        <w:rPr>
          <w:rFonts w:ascii="Arial" w:hAnsi="Arial" w:cs="Arial"/>
        </w:rPr>
      </w:r>
      <w:r>
        <w:rPr>
          <w:rFonts w:ascii="Arial" w:hAnsi="Arial" w:cs="Arial"/>
        </w:rPr>
      </w:r>
    </w:p>
    <w:p w14:paraId="098D4F84" w14:textId="77777777">
      <w:pPr>
        <w:pBdr/>
        <w:tabs>
          <w:tab w:val="right" w:leader="none" w:pos="9072"/>
        </w:tabs>
        <w:spacing/>
        <w:ind/>
        <w:jc w:val="center"/>
        <w:rPr>
          <w:rFonts w:ascii="Arial" w:hAnsi="Arial" w:cs="Arial"/>
          <w:b/>
        </w:rPr>
      </w:pPr>
      <w:r>
        <w:rPr>
          <w:rFonts w:ascii="Arial" w:hAnsi="Arial" w:cs="Arial"/>
          <w:b/>
        </w:rPr>
        <w:t xml:space="preserve">ANEXO I: TERMO DE REFERÊNCIA</w:t>
      </w:r>
      <w:r>
        <w:rPr>
          <w:rFonts w:ascii="Arial" w:hAnsi="Arial" w:cs="Arial"/>
          <w:b/>
        </w:rPr>
      </w:r>
    </w:p>
    <w:p w14:paraId="0D303B05" w14:textId="77777777">
      <w:pPr>
        <w:pBdr/>
        <w:tabs>
          <w:tab w:val="left" w:leader="none" w:pos="1170"/>
        </w:tabs>
        <w:spacing/>
        <w:ind/>
        <w:jc w:val="center"/>
        <w:rPr>
          <w:rFonts w:ascii="Arial" w:hAnsi="Arial" w:cs="Arial"/>
          <w:b/>
          <w:bCs/>
        </w:rPr>
      </w:pPr>
      <w:r/>
      <w:bookmarkStart w:id="40" w:name="_heading=h.if1d4esm3omc"/>
      <w:r/>
      <w:bookmarkEnd w:id="40"/>
      <w:r/>
      <w:r>
        <w:rPr>
          <w:rFonts w:ascii="Arial" w:hAnsi="Arial" w:cs="Arial"/>
          <w:b/>
          <w:bCs/>
        </w:rPr>
      </w:r>
    </w:p>
    <w:p w14:paraId="0E54EDE9" w14:textId="77777777">
      <w:pPr>
        <w:pStyle w:val="1068"/>
        <w:widowControl w:val="false"/>
        <w:numPr>
          <w:ilvl w:val="0"/>
          <w:numId w:val="36"/>
        </w:numPr>
        <w:pBdr>
          <w:top w:val="single" w:color="000000" w:sz="4" w:space="0"/>
          <w:left w:val="single" w:color="000000" w:sz="4" w:space="0"/>
          <w:bottom w:val="single" w:color="000000" w:sz="4" w:space="0"/>
          <w:right w:val="single" w:color="000000" w:sz="4" w:space="0"/>
          <w:between w:val="single" w:color="000000" w:sz="4" w:space="0"/>
        </w:pBdr>
        <w:shd w:val="clear" w:color="auto" w:fill="d8d8d8" w:themeFill="background1" w:themeFillShade="D8"/>
        <w:spacing w:line="360" w:lineRule="auto"/>
        <w:ind w:left="0"/>
        <w:jc w:val="center"/>
        <w:rPr>
          <w:rFonts w:ascii="Times New Roman" w:hAnsi="Times New Roman" w:cs="Times New Roman"/>
          <w:b/>
          <w:bCs/>
        </w:rPr>
      </w:pPr>
      <w:r>
        <w:rPr>
          <w:rFonts w:ascii="Times New Roman" w:hAnsi="Times New Roman" w:cs="Times New Roman"/>
          <w:b/>
          <w:bCs/>
        </w:rPr>
        <w:t xml:space="preserve">OBJETO E CONDIÇÕES GERAIS DA CONTRATAÇÃO</w:t>
      </w:r>
      <w:r>
        <w:rPr>
          <w:rFonts w:ascii="Times New Roman" w:hAnsi="Times New Roman" w:cs="Times New Roman"/>
          <w:b/>
          <w:bCs/>
        </w:rPr>
      </w:r>
    </w:p>
    <w:p w14:paraId="6B37B4DF" w14:textId="77777777">
      <w:pPr>
        <w:numPr>
          <w:ilvl w:val="1"/>
          <w:numId w:val="36"/>
        </w:numPr>
        <w:pBdr/>
        <w:shd w:val="clear" w:color="auto" w:fill="ffffff"/>
        <w:spacing w:before="120" w:line="360" w:lineRule="auto"/>
        <w:ind/>
        <w:jc w:val="both"/>
        <w:rPr>
          <w:sz w:val="24"/>
          <w:szCs w:val="24"/>
        </w:rPr>
      </w:pPr>
      <w:r>
        <w:rPr>
          <w:sz w:val="24"/>
          <w:szCs w:val="24"/>
        </w:rPr>
        <w:t xml:space="preserve"> O presente Termo de Referência tem como finalidade promover licitação na modalidade Pregão Eletrônico, do tipo menor preço por lote, por meio de Registro de Preços, visando à futura e eventual contratação de serviços funerários de translado e tanatopraxia</w:t>
      </w:r>
      <w:r>
        <w:rPr>
          <w:sz w:val="24"/>
          <w:szCs w:val="24"/>
        </w:rPr>
        <w:t xml:space="preserve">, destinados ao atendimento das necessidades de famílias em situação de vulnerabilidade socioeconômica, assistidas pela Secretaria Municipal de Promoção e Assistência Social – SEMPRAS. A contratação busca assegurar a prestação tempestiva, contínua e adequa</w:t>
      </w:r>
      <w:r>
        <w:rPr>
          <w:sz w:val="24"/>
          <w:szCs w:val="24"/>
        </w:rPr>
        <w:t xml:space="preserve">da dos serviços, garantindo dignidade no atendimento às situações de óbito, bem como eficiência, economicidade e regularidade dos processos administrativos, em conformidade com os princípios previstos na Lei nº 14.133/2021.</w:t>
      </w:r>
      <w:r>
        <w:rPr>
          <w:sz w:val="24"/>
          <w:szCs w:val="24"/>
        </w:rPr>
      </w:r>
    </w:p>
    <w:p w14:paraId="5322B5D0" w14:textId="77777777">
      <w:pPr>
        <w:pBdr/>
        <w:shd w:val="clear" w:color="auto" w:fill="ffffff"/>
        <w:spacing w:before="120" w:line="360" w:lineRule="auto"/>
        <w:ind/>
        <w:jc w:val="both"/>
        <w:rPr>
          <w:sz w:val="24"/>
          <w:szCs w:val="24"/>
        </w:rPr>
      </w:pPr>
      <w:r>
        <w:rPr>
          <w:sz w:val="24"/>
          <w:szCs w:val="24"/>
        </w:rPr>
      </w:r>
      <w:r>
        <w:rPr>
          <w:sz w:val="24"/>
          <w:szCs w:val="24"/>
        </w:rPr>
      </w:r>
    </w:p>
    <w:tbl>
      <w:tblPr>
        <w:tblW w:w="10074" w:type="dxa"/>
        <w:tblCellMar>
          <w:left w:w="15" w:type="dxa"/>
          <w:top w:w="15" w:type="dxa"/>
          <w:right w:w="15" w:type="dxa"/>
          <w:bottom w:w="15" w:type="dxa"/>
        </w:tblCellMar>
        <w:tblBorders/>
        <w:tblLayout w:type="fixed"/>
        <w:tblpPr w:horzAnchor="page" w:tblpX="985" w:vertAnchor="page" w:tblpY="7181" w:leftFromText="180" w:topFromText="0" w:rightFromText="180" w:bottomFromText="0"/>
        <w:tblCellSpacing w:w="0" w:type="dxa"/>
        <w:tblOverlap w:val="never"/>
        <w:tblLook w:val="04A0" w:firstRow="1" w:lastRow="0" w:firstColumn="1" w:lastColumn="0" w:noHBand="0" w:noVBand="1"/>
      </w:tblPr>
      <w:tblGrid>
        <w:gridCol w:w="762"/>
        <w:gridCol w:w="3112"/>
        <w:gridCol w:w="955"/>
        <w:gridCol w:w="555"/>
        <w:gridCol w:w="829"/>
        <w:gridCol w:w="923"/>
        <w:gridCol w:w="1020"/>
        <w:gridCol w:w="865"/>
        <w:gridCol w:w="1053"/>
      </w:tblGrid>
      <w:tr>
        <w:trPr>
          <w:tblCellSpacing w:w="0" w:type="dxa"/>
          <w:trHeight w:val="463"/>
        </w:trPr>
        <w:tc>
          <w:tcPr>
            <w:shd w:val="clear" w:color="auto" w:fill="bfbfbf" w:themeFill="background1" w:themeFillShade="BF"/>
            <w:tcBorders>
              <w:top w:val="single" w:color="auto" w:sz="4" w:space="0"/>
              <w:left w:val="single" w:color="000000" w:sz="6" w:space="0"/>
              <w:bottom w:val="single" w:color="auto" w:sz="4" w:space="0"/>
              <w:right w:val="single" w:color="auto" w:sz="4" w:space="0"/>
            </w:tcBorders>
            <w:tcW w:w="762" w:type="dxa"/>
            <w:textDirection w:val="lrTb"/>
            <w:noWrap w:val="false"/>
          </w:tcPr>
          <w:p w14:paraId="75A5CE7E" w14:textId="77777777">
            <w:pPr>
              <w:pBdr/>
              <w:spacing/>
              <w:ind/>
              <w:jc w:val="center"/>
              <w:rPr>
                <w:b/>
                <w:bCs/>
                <w:sz w:val="13"/>
                <w:szCs w:val="13"/>
                <w:lang w:val="en-US" w:eastAsia="zh-CN"/>
              </w:rPr>
            </w:pPr>
            <w:r>
              <w:rPr>
                <w:b/>
                <w:bCs/>
                <w:sz w:val="13"/>
                <w:szCs w:val="13"/>
                <w:lang w:val="en-US" w:eastAsia="zh-CN"/>
              </w:rPr>
              <w:t xml:space="preserve">ITEM</w:t>
            </w:r>
            <w:r>
              <w:rPr>
                <w:b/>
                <w:bCs/>
                <w:sz w:val="13"/>
                <w:szCs w:val="13"/>
                <w:lang w:val="en-US" w:eastAsia="zh-CN"/>
              </w:rPr>
            </w:r>
          </w:p>
        </w:tc>
        <w:tc>
          <w:tcPr>
            <w:shd w:val="clear" w:color="auto" w:fill="bfbfbf" w:themeFill="background1" w:themeFillShade="BF"/>
            <w:tcBorders>
              <w:top w:val="single" w:color="auto" w:sz="4" w:space="0"/>
              <w:left w:val="single" w:color="auto" w:sz="4" w:space="0"/>
              <w:bottom w:val="single" w:color="auto" w:sz="4" w:space="0"/>
              <w:right w:val="single" w:color="auto" w:sz="4" w:space="0"/>
            </w:tcBorders>
            <w:tcW w:w="3112" w:type="dxa"/>
            <w:textDirection w:val="lrTb"/>
            <w:noWrap w:val="false"/>
          </w:tcPr>
          <w:p w14:paraId="74EFA11F" w14:textId="77777777">
            <w:pPr>
              <w:pBdr/>
              <w:spacing/>
              <w:ind/>
              <w:jc w:val="center"/>
              <w:rPr>
                <w:b/>
                <w:bCs/>
                <w:sz w:val="13"/>
                <w:szCs w:val="13"/>
                <w:lang w:val="en-US" w:eastAsia="zh-CN"/>
              </w:rPr>
            </w:pPr>
            <w:r>
              <w:rPr>
                <w:b/>
                <w:bCs/>
                <w:sz w:val="13"/>
                <w:szCs w:val="13"/>
                <w:lang w:val="en-US" w:eastAsia="zh-CN"/>
              </w:rPr>
              <w:t xml:space="preserve">DESCRIÇÃO</w:t>
            </w:r>
            <w:r>
              <w:rPr>
                <w:b/>
                <w:bCs/>
                <w:sz w:val="13"/>
                <w:szCs w:val="13"/>
                <w:lang w:val="en-US" w:eastAsia="zh-CN"/>
              </w:rPr>
            </w:r>
          </w:p>
        </w:tc>
        <w:tc>
          <w:tcPr>
            <w:shd w:val="clear" w:color="auto" w:fill="bfbfbf" w:themeFill="background1" w:themeFillShade="BF"/>
            <w:tcBorders>
              <w:top w:val="single" w:color="auto" w:sz="4" w:space="0"/>
              <w:left w:val="single" w:color="auto" w:sz="4" w:space="0"/>
              <w:bottom w:val="single" w:color="auto" w:sz="4" w:space="0"/>
              <w:right w:val="single" w:color="auto" w:sz="4" w:space="0"/>
            </w:tcBorders>
            <w:tcW w:w="955" w:type="dxa"/>
            <w:textDirection w:val="lrTb"/>
            <w:noWrap w:val="false"/>
          </w:tcPr>
          <w:p w14:paraId="28050B17" w14:textId="77777777">
            <w:pPr>
              <w:pBdr/>
              <w:spacing/>
              <w:ind/>
              <w:jc w:val="center"/>
              <w:rPr>
                <w:b/>
                <w:bCs/>
                <w:sz w:val="13"/>
                <w:szCs w:val="13"/>
                <w:lang w:val="en-US" w:eastAsia="zh-CN"/>
              </w:rPr>
            </w:pPr>
            <w:r>
              <w:rPr>
                <w:b/>
                <w:bCs/>
                <w:sz w:val="13"/>
                <w:szCs w:val="13"/>
                <w:lang w:val="en-US" w:eastAsia="zh-CN"/>
              </w:rPr>
              <w:t xml:space="preserve">UN</w:t>
            </w:r>
            <w:r>
              <w:rPr>
                <w:b/>
                <w:bCs/>
                <w:sz w:val="13"/>
                <w:szCs w:val="13"/>
                <w:lang w:val="en-US" w:eastAsia="zh-CN"/>
              </w:rPr>
            </w:r>
          </w:p>
          <w:p w14:paraId="64872953" w14:textId="77777777">
            <w:pPr>
              <w:pBdr/>
              <w:spacing/>
              <w:ind/>
              <w:jc w:val="center"/>
              <w:rPr>
                <w:b/>
                <w:bCs/>
                <w:sz w:val="13"/>
                <w:szCs w:val="13"/>
                <w:lang w:val="en-US" w:eastAsia="zh-CN"/>
              </w:rPr>
            </w:pPr>
            <w:r>
              <w:rPr>
                <w:b/>
                <w:bCs/>
                <w:sz w:val="13"/>
                <w:szCs w:val="13"/>
                <w:lang w:val="en-US" w:eastAsia="zh-CN"/>
              </w:rPr>
            </w:r>
            <w:r>
              <w:rPr>
                <w:b/>
                <w:bCs/>
                <w:sz w:val="13"/>
                <w:szCs w:val="13"/>
                <w:lang w:val="en-US" w:eastAsia="zh-CN"/>
              </w:rPr>
            </w:r>
          </w:p>
        </w:tc>
        <w:tc>
          <w:tcPr>
            <w:shd w:val="clear" w:color="auto" w:fill="bfbfbf" w:themeFill="background1" w:themeFillShade="BF"/>
            <w:tcBorders>
              <w:top w:val="single" w:color="auto" w:sz="4" w:space="0"/>
              <w:left w:val="single" w:color="auto" w:sz="4" w:space="0"/>
              <w:bottom w:val="single" w:color="auto" w:sz="4" w:space="0"/>
              <w:right w:val="single" w:color="auto" w:sz="4" w:space="0"/>
            </w:tcBorders>
            <w:tcW w:w="555" w:type="dxa"/>
            <w:textDirection w:val="lrTb"/>
            <w:noWrap w:val="false"/>
          </w:tcPr>
          <w:p w14:paraId="3049494B" w14:textId="77777777">
            <w:pPr>
              <w:pBdr/>
              <w:spacing/>
              <w:ind/>
              <w:jc w:val="center"/>
              <w:rPr>
                <w:b/>
                <w:bCs/>
                <w:sz w:val="13"/>
                <w:szCs w:val="13"/>
                <w:lang w:eastAsia="zh-CN"/>
              </w:rPr>
            </w:pPr>
            <w:r>
              <w:rPr>
                <w:b/>
                <w:bCs/>
                <w:sz w:val="13"/>
                <w:szCs w:val="13"/>
                <w:lang w:eastAsia="zh-CN"/>
              </w:rPr>
              <w:t xml:space="preserve">QTDE</w:t>
            </w:r>
            <w:r>
              <w:rPr>
                <w:b/>
                <w:bCs/>
                <w:sz w:val="13"/>
                <w:szCs w:val="13"/>
                <w:lang w:eastAsia="zh-CN"/>
              </w:rPr>
            </w:r>
          </w:p>
        </w:tc>
        <w:tc>
          <w:tcPr>
            <w:shd w:val="clear" w:color="auto" w:fill="bfbfbf" w:themeFill="background1" w:themeFillShade="BF"/>
            <w:tcBorders>
              <w:top w:val="single" w:color="auto" w:sz="4" w:space="0"/>
              <w:left w:val="single" w:color="auto" w:sz="4" w:space="0"/>
              <w:bottom w:val="single" w:color="auto" w:sz="4" w:space="0"/>
              <w:right w:val="single" w:color="auto" w:sz="4" w:space="0"/>
            </w:tcBorders>
            <w:tcW w:w="829" w:type="dxa"/>
            <w:vAlign w:val="center"/>
            <w:textDirection w:val="lrTb"/>
            <w:noWrap w:val="false"/>
          </w:tcPr>
          <w:p w14:paraId="068D8A8E" w14:textId="77777777">
            <w:pPr>
              <w:pBdr/>
              <w:spacing/>
              <w:ind/>
              <w:jc w:val="center"/>
              <w:rPr>
                <w:b/>
                <w:bCs/>
                <w:sz w:val="13"/>
                <w:szCs w:val="13"/>
                <w:lang w:val="en-US" w:eastAsia="zh-CN"/>
              </w:rPr>
            </w:pPr>
            <w:r>
              <w:rPr>
                <w:b/>
                <w:bCs/>
                <w:sz w:val="13"/>
                <w:szCs w:val="13"/>
                <w:lang w:val="en-US" w:eastAsia="zh-CN"/>
              </w:rPr>
              <w:t xml:space="preserve">COTAÇÃO 1 Publica</w:t>
            </w:r>
            <w:r>
              <w:rPr>
                <w:b/>
                <w:bCs/>
                <w:sz w:val="13"/>
                <w:szCs w:val="13"/>
                <w:lang w:val="en-US" w:eastAsia="zh-CN"/>
              </w:rPr>
            </w:r>
          </w:p>
        </w:tc>
        <w:tc>
          <w:tcPr>
            <w:shd w:val="clear" w:color="auto" w:fill="bfbfbf" w:themeFill="background1" w:themeFillShade="BF"/>
            <w:tcBorders>
              <w:top w:val="single" w:color="auto" w:sz="4" w:space="0"/>
              <w:left w:val="single" w:color="auto" w:sz="4" w:space="0"/>
              <w:bottom w:val="single" w:color="auto" w:sz="4" w:space="0"/>
              <w:right w:val="single" w:color="auto" w:sz="4" w:space="0"/>
            </w:tcBorders>
            <w:tcW w:w="923" w:type="dxa"/>
            <w:vAlign w:val="center"/>
            <w:textDirection w:val="lrTb"/>
            <w:noWrap w:val="false"/>
          </w:tcPr>
          <w:p w14:paraId="7F0927EC" w14:textId="77777777">
            <w:pPr>
              <w:pBdr/>
              <w:spacing/>
              <w:ind/>
              <w:jc w:val="center"/>
              <w:rPr>
                <w:b/>
                <w:bCs/>
                <w:sz w:val="13"/>
                <w:szCs w:val="13"/>
                <w:lang w:val="en-US" w:eastAsia="zh-CN"/>
              </w:rPr>
            </w:pPr>
            <w:r>
              <w:rPr>
                <w:b/>
                <w:bCs/>
                <w:sz w:val="13"/>
                <w:szCs w:val="13"/>
                <w:lang w:val="en-US" w:eastAsia="zh-CN"/>
              </w:rPr>
              <w:t xml:space="preserve">COTAÇÃO 2 Publica</w:t>
            </w:r>
            <w:r>
              <w:rPr>
                <w:b/>
                <w:bCs/>
                <w:sz w:val="13"/>
                <w:szCs w:val="13"/>
                <w:lang w:val="en-US" w:eastAsia="zh-CN"/>
              </w:rPr>
            </w:r>
          </w:p>
        </w:tc>
        <w:tc>
          <w:tcPr>
            <w:shd w:val="clear" w:color="auto" w:fill="bfbfbf" w:themeFill="background1" w:themeFillShade="BF"/>
            <w:tcBorders>
              <w:top w:val="single" w:color="auto" w:sz="4" w:space="0"/>
              <w:left w:val="single" w:color="auto" w:sz="4" w:space="0"/>
              <w:bottom w:val="single" w:color="auto" w:sz="4" w:space="0"/>
              <w:right w:val="single" w:color="auto" w:sz="4" w:space="0"/>
            </w:tcBorders>
            <w:tcW w:w="1020" w:type="dxa"/>
            <w:vAlign w:val="center"/>
            <w:textDirection w:val="lrTb"/>
            <w:noWrap w:val="false"/>
          </w:tcPr>
          <w:p w14:paraId="1D4D8DBC" w14:textId="77777777">
            <w:pPr>
              <w:pBdr/>
              <w:spacing/>
              <w:ind/>
              <w:jc w:val="center"/>
              <w:rPr>
                <w:b/>
                <w:bCs/>
                <w:sz w:val="13"/>
                <w:szCs w:val="13"/>
                <w:lang w:val="en-US" w:eastAsia="zh-CN"/>
              </w:rPr>
            </w:pPr>
            <w:r>
              <w:rPr>
                <w:b/>
                <w:bCs/>
                <w:sz w:val="13"/>
                <w:szCs w:val="13"/>
                <w:lang w:val="en-US" w:eastAsia="zh-CN"/>
              </w:rPr>
              <w:t xml:space="preserve">COTAÇÃO 3 </w:t>
            </w:r>
            <w:r>
              <w:rPr>
                <w:b/>
                <w:bCs/>
                <w:sz w:val="13"/>
                <w:szCs w:val="13"/>
                <w:lang w:eastAsia="zh-CN"/>
              </w:rPr>
              <w:t xml:space="preserve"> Privado</w:t>
            </w:r>
            <w:r>
              <w:rPr>
                <w:b/>
                <w:bCs/>
                <w:sz w:val="13"/>
                <w:szCs w:val="13"/>
                <w:lang w:val="en-US" w:eastAsia="zh-CN"/>
              </w:rPr>
            </w:r>
          </w:p>
        </w:tc>
        <w:tc>
          <w:tcPr>
            <w:shd w:val="clear" w:color="auto" w:fill="bfbfbf" w:themeFill="background1" w:themeFillShade="BF"/>
            <w:tcBorders>
              <w:top w:val="single" w:color="auto" w:sz="4" w:space="0"/>
              <w:left w:val="single" w:color="auto" w:sz="4" w:space="0"/>
              <w:bottom w:val="single" w:color="auto" w:sz="4" w:space="0"/>
              <w:right w:val="single" w:color="auto" w:sz="4" w:space="0"/>
            </w:tcBorders>
            <w:tcW w:w="865" w:type="dxa"/>
            <w:textDirection w:val="lrTb"/>
            <w:noWrap w:val="false"/>
          </w:tcPr>
          <w:p w14:paraId="434328A8" w14:textId="77777777">
            <w:pPr>
              <w:pBdr/>
              <w:spacing/>
              <w:ind/>
              <w:jc w:val="center"/>
              <w:rPr>
                <w:b/>
                <w:bCs/>
                <w:sz w:val="13"/>
                <w:szCs w:val="13"/>
                <w:lang w:val="en-US" w:eastAsia="zh-CN"/>
              </w:rPr>
            </w:pPr>
            <w:r>
              <w:rPr>
                <w:b/>
                <w:bCs/>
                <w:sz w:val="13"/>
                <w:szCs w:val="13"/>
                <w:lang w:val="en-US" w:eastAsia="zh-CN"/>
              </w:rPr>
              <w:t xml:space="preserve">MÉDIA</w:t>
            </w:r>
            <w:r>
              <w:rPr>
                <w:b/>
                <w:bCs/>
                <w:sz w:val="13"/>
                <w:szCs w:val="13"/>
                <w:lang w:val="en-US" w:eastAsia="zh-CN"/>
              </w:rPr>
            </w:r>
          </w:p>
        </w:tc>
        <w:tc>
          <w:tcPr>
            <w:shd w:val="clear" w:color="auto" w:fill="bfbfbf" w:themeFill="background1" w:themeFillShade="BF"/>
            <w:tcBorders>
              <w:top w:val="single" w:color="auto" w:sz="4" w:space="0"/>
              <w:left w:val="single" w:color="auto" w:sz="4" w:space="0"/>
              <w:bottom w:val="single" w:color="auto" w:sz="4" w:space="0"/>
              <w:right w:val="single" w:color="auto" w:sz="4" w:space="0"/>
            </w:tcBorders>
            <w:tcW w:w="1053" w:type="dxa"/>
            <w:textDirection w:val="lrTb"/>
            <w:noWrap w:val="false"/>
          </w:tcPr>
          <w:p w14:paraId="027B9A30" w14:textId="77777777">
            <w:pPr>
              <w:pBdr/>
              <w:spacing/>
              <w:ind/>
              <w:jc w:val="center"/>
              <w:rPr>
                <w:b/>
                <w:bCs/>
                <w:sz w:val="13"/>
                <w:szCs w:val="13"/>
                <w:lang w:val="en-US" w:eastAsia="zh-CN"/>
              </w:rPr>
            </w:pPr>
            <w:r>
              <w:rPr>
                <w:b/>
                <w:bCs/>
                <w:sz w:val="13"/>
                <w:szCs w:val="13"/>
                <w:lang w:val="en-US" w:eastAsia="zh-CN"/>
              </w:rPr>
              <w:t xml:space="preserve">VALOR TOTAL</w:t>
            </w:r>
            <w:r>
              <w:rPr>
                <w:b/>
                <w:bCs/>
                <w:sz w:val="13"/>
                <w:szCs w:val="13"/>
                <w:lang w:val="en-US" w:eastAsia="zh-CN"/>
              </w:rPr>
            </w:r>
          </w:p>
        </w:tc>
      </w:tr>
      <w:tr>
        <w:trPr>
          <w:tblCellSpacing w:w="0" w:type="dxa"/>
          <w:trHeight w:val="410"/>
        </w:trPr>
        <w:tc>
          <w:tcPr>
            <w:shd w:val="clear" w:color="auto" w:fill="ffffff"/>
            <w:tcBorders>
              <w:top w:val="single" w:color="auto" w:sz="4" w:space="0"/>
              <w:left w:val="single" w:color="auto" w:sz="4" w:space="0"/>
              <w:bottom w:val="single" w:color="auto" w:sz="4" w:space="0"/>
              <w:right w:val="single" w:color="auto" w:sz="4" w:space="0"/>
            </w:tcBorders>
            <w:tcW w:w="762" w:type="dxa"/>
            <w:vAlign w:val="center"/>
            <w:textDirection w:val="lrTb"/>
            <w:noWrap w:val="false"/>
          </w:tcPr>
          <w:p w14:paraId="003BD276" w14:textId="77777777">
            <w:pPr>
              <w:pBdr/>
              <w:shd w:val="clear" w:color="auto" w:fill="ffffff"/>
              <w:spacing/>
              <w:ind/>
              <w:jc w:val="center"/>
              <w:rPr>
                <w:rFonts w:eastAsia="Liberation Sans"/>
                <w:color w:val="000000" w:themeColor="text1"/>
                <w:sz w:val="15"/>
                <w:szCs w:val="15"/>
              </w:rPr>
            </w:pPr>
            <w:r>
              <w:rPr>
                <w:rFonts w:eastAsia="Liberation Sans"/>
                <w:color w:val="000000"/>
                <w:sz w:val="15"/>
                <w:szCs w:val="15"/>
                <w:lang w:val="en-US" w:eastAsia="zh-CN" w:bidi="ar"/>
              </w:rPr>
              <w:t xml:space="preserve">1</w:t>
            </w:r>
            <w:r>
              <w:rPr>
                <w:rFonts w:eastAsia="Liberation Sans"/>
                <w:color w:val="000000" w:themeColor="text1"/>
                <w:sz w:val="15"/>
                <w:szCs w:val="15"/>
              </w:rPr>
            </w:r>
          </w:p>
        </w:tc>
        <w:tc>
          <w:tcPr>
            <w:shd w:val="clear" w:color="auto" w:fill="ffffff"/>
            <w:tcBorders>
              <w:top w:val="single" w:color="auto" w:sz="4" w:space="0"/>
              <w:left w:val="single" w:color="auto" w:sz="4" w:space="0"/>
              <w:bottom w:val="single" w:color="auto" w:sz="4" w:space="0"/>
              <w:right w:val="single" w:color="auto" w:sz="4" w:space="0"/>
            </w:tcBorders>
            <w:tcW w:w="3112" w:type="dxa"/>
            <w:vAlign w:val="center"/>
            <w:textDirection w:val="lrTb"/>
            <w:noWrap w:val="false"/>
          </w:tcPr>
          <w:p w14:paraId="1205A394" w14:textId="77777777">
            <w:pPr>
              <w:pBdr/>
              <w:spacing/>
              <w:ind/>
              <w:rPr>
                <w:rFonts w:eastAsia="Liberation Sans"/>
                <w:color w:val="000000" w:themeColor="text1"/>
                <w:sz w:val="15"/>
                <w:szCs w:val="15"/>
              </w:rPr>
            </w:pPr>
            <w:r>
              <w:rPr>
                <w:rFonts w:eastAsia="Liberation Sans"/>
                <w:color w:val="000000"/>
                <w:sz w:val="15"/>
                <w:szCs w:val="15"/>
                <w:lang w:eastAsia="zh-CN" w:bidi="ar"/>
              </w:rPr>
              <w:t xml:space="preserve">SERVIÇO DE TANATOPRAXIA - ADULTO. CONFORME TERMO DE REFERÊNCIA.</w:t>
            </w:r>
            <w:r>
              <w:rPr>
                <w:rFonts w:eastAsia="Liberation Sans"/>
                <w:color w:val="000000" w:themeColor="text1"/>
                <w:sz w:val="15"/>
                <w:szCs w:val="15"/>
              </w:rPr>
            </w:r>
          </w:p>
        </w:tc>
        <w:tc>
          <w:tcPr>
            <w:shd w:val="clear" w:color="auto" w:fill="ffffff"/>
            <w:tcBorders>
              <w:top w:val="single" w:color="auto" w:sz="4" w:space="0"/>
              <w:left w:val="single" w:color="auto" w:sz="4" w:space="0"/>
              <w:bottom w:val="single" w:color="auto" w:sz="4" w:space="0"/>
              <w:right w:val="single" w:color="auto" w:sz="4" w:space="0"/>
            </w:tcBorders>
            <w:tcW w:w="955" w:type="dxa"/>
            <w:vAlign w:val="center"/>
            <w:textDirection w:val="lrTb"/>
            <w:noWrap w:val="false"/>
          </w:tcPr>
          <w:p w14:paraId="7D612CC5"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UN </w:t>
            </w:r>
            <w:r>
              <w:rPr>
                <w:rFonts w:eastAsia="Liberation Sans"/>
                <w:color w:val="000000" w:themeColor="text1"/>
                <w:sz w:val="13"/>
                <w:szCs w:val="13"/>
              </w:rPr>
            </w:r>
          </w:p>
        </w:tc>
        <w:tc>
          <w:tcPr>
            <w:shd w:val="clear" w:color="auto" w:fill="ffffff"/>
            <w:tcBorders>
              <w:top w:val="single" w:color="auto" w:sz="4" w:space="0"/>
              <w:left w:val="single" w:color="auto" w:sz="4" w:space="0"/>
              <w:bottom w:val="single" w:color="auto" w:sz="4" w:space="0"/>
              <w:right w:val="single" w:color="auto" w:sz="4" w:space="0"/>
            </w:tcBorders>
            <w:tcW w:w="555" w:type="dxa"/>
            <w:vAlign w:val="center"/>
            <w:textDirection w:val="lrTb"/>
            <w:noWrap w:val="false"/>
          </w:tcPr>
          <w:p w14:paraId="13FF7F21" w14:textId="77777777">
            <w:pPr>
              <w:pBdr/>
              <w:spacing/>
              <w:ind/>
              <w:jc w:val="center"/>
              <w:rPr>
                <w:rFonts w:eastAsia="Liberation Sans"/>
                <w:color w:val="000000" w:themeColor="text1"/>
                <w:sz w:val="15"/>
                <w:szCs w:val="15"/>
              </w:rPr>
            </w:pPr>
            <w:r>
              <w:rPr>
                <w:rFonts w:eastAsia="Liberation Sans"/>
                <w:color w:val="000000"/>
                <w:sz w:val="15"/>
                <w:szCs w:val="15"/>
                <w:lang w:val="en-US" w:eastAsia="zh-CN" w:bidi="ar"/>
              </w:rPr>
              <w:t xml:space="preserve">60</w:t>
            </w:r>
            <w:r>
              <w:rPr>
                <w:rFonts w:eastAsia="Liberation Sans"/>
                <w:color w:val="000000" w:themeColor="text1"/>
                <w:sz w:val="15"/>
                <w:szCs w:val="15"/>
              </w:rPr>
            </w:r>
          </w:p>
        </w:tc>
        <w:tc>
          <w:tcPr>
            <w:shd w:val="clear" w:color="auto" w:fill="ffffff"/>
            <w:tcBorders>
              <w:top w:val="single" w:color="auto" w:sz="4" w:space="0"/>
              <w:left w:val="single" w:color="auto" w:sz="4" w:space="0"/>
              <w:bottom w:val="single" w:color="auto" w:sz="4" w:space="0"/>
              <w:right w:val="single" w:color="auto" w:sz="4" w:space="0"/>
            </w:tcBorders>
            <w:tcW w:w="829" w:type="dxa"/>
            <w:vAlign w:val="center"/>
            <w:textDirection w:val="lrTb"/>
            <w:noWrap w:val="false"/>
          </w:tcPr>
          <w:p w14:paraId="4BBCE0E4"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R$ 2.105,73</w:t>
            </w:r>
            <w:r>
              <w:rPr>
                <w:rFonts w:eastAsia="Liberation Sans"/>
                <w:color w:val="000000" w:themeColor="text1"/>
                <w:sz w:val="13"/>
                <w:szCs w:val="13"/>
              </w:rPr>
            </w:r>
          </w:p>
        </w:tc>
        <w:tc>
          <w:tcPr>
            <w:shd w:val="clear" w:color="auto" w:fill="ffffff"/>
            <w:tcBorders>
              <w:top w:val="single" w:color="auto" w:sz="4" w:space="0"/>
              <w:left w:val="single" w:color="auto" w:sz="4" w:space="0"/>
              <w:bottom w:val="single" w:color="auto" w:sz="4" w:space="0"/>
              <w:right w:val="single" w:color="auto" w:sz="4" w:space="0"/>
            </w:tcBorders>
            <w:tcW w:w="923" w:type="dxa"/>
            <w:vAlign w:val="center"/>
            <w:textDirection w:val="lrTb"/>
            <w:noWrap w:val="false"/>
          </w:tcPr>
          <w:p w14:paraId="280C64BE"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R$ 2.128,66</w:t>
            </w:r>
            <w:r>
              <w:rPr>
                <w:rFonts w:eastAsia="Liberation Sans"/>
                <w:color w:val="000000" w:themeColor="text1"/>
                <w:sz w:val="13"/>
                <w:szCs w:val="13"/>
              </w:rPr>
            </w:r>
          </w:p>
        </w:tc>
        <w:tc>
          <w:tcPr>
            <w:shd w:val="clear" w:color="auto" w:fill="ffffff"/>
            <w:tcBorders>
              <w:top w:val="single" w:color="auto" w:sz="4" w:space="0"/>
              <w:left w:val="single" w:color="auto" w:sz="4" w:space="0"/>
              <w:bottom w:val="single" w:color="auto" w:sz="4" w:space="0"/>
              <w:right w:val="single" w:color="auto" w:sz="4" w:space="0"/>
            </w:tcBorders>
            <w:tcW w:w="1020" w:type="dxa"/>
            <w:vAlign w:val="center"/>
            <w:textDirection w:val="lrTb"/>
            <w:noWrap w:val="false"/>
          </w:tcPr>
          <w:p w14:paraId="7E81A5A9"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R$ 2.800,00</w:t>
            </w:r>
            <w:r>
              <w:rPr>
                <w:rFonts w:eastAsia="Liberation Sans"/>
                <w:color w:val="000000" w:themeColor="text1"/>
                <w:sz w:val="13"/>
                <w:szCs w:val="13"/>
              </w:rPr>
            </w:r>
          </w:p>
        </w:tc>
        <w:tc>
          <w:tcPr>
            <w:shd w:val="clear" w:color="auto" w:fill="ffffff"/>
            <w:tcBorders>
              <w:top w:val="single" w:color="auto" w:sz="4" w:space="0"/>
              <w:left w:val="single" w:color="auto" w:sz="4" w:space="0"/>
              <w:bottom w:val="single" w:color="auto" w:sz="4" w:space="0"/>
              <w:right w:val="single" w:color="auto" w:sz="4" w:space="0"/>
            </w:tcBorders>
            <w:tcW w:w="865" w:type="dxa"/>
            <w:vAlign w:val="center"/>
            <w:textDirection w:val="lrTb"/>
            <w:noWrap w:val="false"/>
          </w:tcPr>
          <w:p w14:paraId="4EBD4007"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R$ 2.344,</w:t>
            </w:r>
            <w:r>
              <w:rPr>
                <w:rFonts w:eastAsia="Liberation Sans"/>
                <w:color w:val="000000"/>
                <w:sz w:val="13"/>
                <w:szCs w:val="13"/>
                <w:lang w:eastAsia="zh-CN" w:bidi="ar"/>
              </w:rPr>
              <w:t xml:space="preserve">7966</w:t>
            </w:r>
            <w:r>
              <w:rPr>
                <w:rFonts w:eastAsia="Liberation Sans"/>
                <w:color w:val="000000" w:themeColor="text1"/>
                <w:sz w:val="13"/>
                <w:szCs w:val="13"/>
              </w:rPr>
            </w:r>
          </w:p>
        </w:tc>
        <w:tc>
          <w:tcPr>
            <w:shd w:val="clear" w:color="auto" w:fill="ffffff"/>
            <w:tcBorders>
              <w:top w:val="single" w:color="auto" w:sz="4" w:space="0"/>
              <w:left w:val="single" w:color="auto" w:sz="4" w:space="0"/>
              <w:bottom w:val="single" w:color="auto" w:sz="4" w:space="0"/>
              <w:right w:val="single" w:color="auto" w:sz="4" w:space="0"/>
            </w:tcBorders>
            <w:tcW w:w="1053" w:type="dxa"/>
            <w:vAlign w:val="center"/>
            <w:textDirection w:val="lrTb"/>
            <w:noWrap w:val="false"/>
          </w:tcPr>
          <w:p w14:paraId="4D4E1B4B"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R$ 140.687,80</w:t>
            </w:r>
            <w:r>
              <w:rPr>
                <w:rFonts w:eastAsia="Liberation Sans"/>
                <w:color w:val="000000" w:themeColor="text1"/>
                <w:sz w:val="13"/>
                <w:szCs w:val="13"/>
              </w:rPr>
            </w:r>
          </w:p>
        </w:tc>
      </w:tr>
      <w:tr>
        <w:trPr>
          <w:tblCellSpacing w:w="0" w:type="dxa"/>
          <w:trHeight w:val="448"/>
        </w:trPr>
        <w:tc>
          <w:tcPr>
            <w:shd w:val="clear" w:color="auto" w:fill="ffffff"/>
            <w:tcBorders>
              <w:top w:val="single" w:color="auto" w:sz="4" w:space="0"/>
              <w:left w:val="single" w:color="auto" w:sz="4" w:space="0"/>
              <w:bottom w:val="single" w:color="auto" w:sz="4" w:space="0"/>
              <w:right w:val="single" w:color="auto" w:sz="4" w:space="0"/>
            </w:tcBorders>
            <w:tcW w:w="762" w:type="dxa"/>
            <w:vAlign w:val="center"/>
            <w:textDirection w:val="lrTb"/>
            <w:noWrap w:val="false"/>
          </w:tcPr>
          <w:p w14:paraId="06EFD201" w14:textId="77777777">
            <w:pPr>
              <w:pBdr/>
              <w:shd w:val="clear" w:color="auto" w:fill="ffffff"/>
              <w:spacing/>
              <w:ind/>
              <w:jc w:val="center"/>
              <w:rPr>
                <w:rFonts w:eastAsia="Liberation Sans"/>
                <w:color w:val="000000" w:themeColor="text1"/>
                <w:sz w:val="15"/>
                <w:szCs w:val="15"/>
              </w:rPr>
            </w:pPr>
            <w:r>
              <w:rPr>
                <w:rFonts w:eastAsia="Liberation Sans"/>
                <w:color w:val="000000"/>
                <w:sz w:val="15"/>
                <w:szCs w:val="15"/>
                <w:lang w:val="en-US" w:eastAsia="zh-CN" w:bidi="ar"/>
              </w:rPr>
              <w:t xml:space="preserve">2</w:t>
            </w:r>
            <w:r>
              <w:rPr>
                <w:rFonts w:eastAsia="Liberation Sans"/>
                <w:color w:val="000000" w:themeColor="text1"/>
                <w:sz w:val="15"/>
                <w:szCs w:val="15"/>
              </w:rPr>
            </w:r>
          </w:p>
        </w:tc>
        <w:tc>
          <w:tcPr>
            <w:shd w:val="clear" w:color="auto" w:fill="ffffff"/>
            <w:tcBorders>
              <w:top w:val="single" w:color="auto" w:sz="4" w:space="0"/>
              <w:left w:val="single" w:color="auto" w:sz="4" w:space="0"/>
              <w:bottom w:val="single" w:color="auto" w:sz="4" w:space="0"/>
              <w:right w:val="single" w:color="auto" w:sz="4" w:space="0"/>
            </w:tcBorders>
            <w:tcW w:w="3112" w:type="dxa"/>
            <w:vAlign w:val="center"/>
            <w:textDirection w:val="lrTb"/>
            <w:noWrap w:val="false"/>
          </w:tcPr>
          <w:p w14:paraId="39582D81" w14:textId="77777777">
            <w:pPr>
              <w:pBdr/>
              <w:spacing/>
              <w:ind/>
              <w:rPr>
                <w:rFonts w:eastAsia="Liberation Sans"/>
                <w:color w:val="000000" w:themeColor="text1"/>
                <w:sz w:val="15"/>
                <w:szCs w:val="15"/>
              </w:rPr>
            </w:pPr>
            <w:r>
              <w:rPr>
                <w:rFonts w:eastAsia="Liberation Sans"/>
                <w:color w:val="000000"/>
                <w:sz w:val="15"/>
                <w:szCs w:val="15"/>
                <w:lang w:eastAsia="zh-CN" w:bidi="ar"/>
              </w:rPr>
              <w:t xml:space="preserve">SERVIÇO DE TANATOPRAXIA - INFANTIL. CONFORME TERMO DE REFERÊNCIA.</w:t>
            </w:r>
            <w:r>
              <w:rPr>
                <w:rFonts w:eastAsia="Liberation Sans"/>
                <w:color w:val="000000" w:themeColor="text1"/>
                <w:sz w:val="15"/>
                <w:szCs w:val="15"/>
              </w:rPr>
            </w:r>
          </w:p>
        </w:tc>
        <w:tc>
          <w:tcPr>
            <w:shd w:val="clear" w:color="auto" w:fill="ffffff"/>
            <w:tcBorders>
              <w:top w:val="single" w:color="auto" w:sz="4" w:space="0"/>
              <w:left w:val="single" w:color="auto" w:sz="4" w:space="0"/>
              <w:bottom w:val="single" w:color="auto" w:sz="4" w:space="0"/>
              <w:right w:val="single" w:color="auto" w:sz="4" w:space="0"/>
            </w:tcBorders>
            <w:tcW w:w="955" w:type="dxa"/>
            <w:vAlign w:val="center"/>
            <w:textDirection w:val="lrTb"/>
            <w:noWrap w:val="false"/>
          </w:tcPr>
          <w:p w14:paraId="06D69019"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UN </w:t>
            </w:r>
            <w:r>
              <w:rPr>
                <w:rFonts w:eastAsia="Liberation Sans"/>
                <w:color w:val="000000" w:themeColor="text1"/>
                <w:sz w:val="13"/>
                <w:szCs w:val="13"/>
              </w:rPr>
            </w:r>
          </w:p>
        </w:tc>
        <w:tc>
          <w:tcPr>
            <w:shd w:val="clear" w:color="auto" w:fill="ffffff"/>
            <w:tcBorders>
              <w:top w:val="single" w:color="auto" w:sz="4" w:space="0"/>
              <w:left w:val="single" w:color="auto" w:sz="4" w:space="0"/>
              <w:bottom w:val="single" w:color="auto" w:sz="4" w:space="0"/>
              <w:right w:val="single" w:color="auto" w:sz="4" w:space="0"/>
            </w:tcBorders>
            <w:tcW w:w="555" w:type="dxa"/>
            <w:vAlign w:val="center"/>
            <w:textDirection w:val="lrTb"/>
            <w:noWrap w:val="false"/>
          </w:tcPr>
          <w:p w14:paraId="7062C793" w14:textId="77777777">
            <w:pPr>
              <w:pBdr/>
              <w:spacing/>
              <w:ind/>
              <w:jc w:val="center"/>
              <w:rPr>
                <w:rFonts w:eastAsia="Liberation Sans"/>
                <w:color w:val="000000" w:themeColor="text1"/>
                <w:sz w:val="15"/>
                <w:szCs w:val="15"/>
              </w:rPr>
            </w:pPr>
            <w:r>
              <w:rPr>
                <w:rFonts w:eastAsia="Liberation Sans"/>
                <w:color w:val="000000"/>
                <w:sz w:val="15"/>
                <w:szCs w:val="15"/>
                <w:lang w:val="en-US" w:eastAsia="zh-CN" w:bidi="ar"/>
              </w:rPr>
              <w:t xml:space="preserve">40</w:t>
            </w:r>
            <w:r>
              <w:rPr>
                <w:rFonts w:eastAsia="Liberation Sans"/>
                <w:color w:val="000000" w:themeColor="text1"/>
                <w:sz w:val="15"/>
                <w:szCs w:val="15"/>
              </w:rPr>
            </w:r>
          </w:p>
        </w:tc>
        <w:tc>
          <w:tcPr>
            <w:shd w:val="clear" w:color="auto" w:fill="ffffff"/>
            <w:tcBorders>
              <w:top w:val="single" w:color="auto" w:sz="4" w:space="0"/>
              <w:left w:val="single" w:color="auto" w:sz="4" w:space="0"/>
              <w:bottom w:val="single" w:color="auto" w:sz="4" w:space="0"/>
              <w:right w:val="single" w:color="auto" w:sz="4" w:space="0"/>
            </w:tcBorders>
            <w:tcW w:w="829" w:type="dxa"/>
            <w:vAlign w:val="center"/>
            <w:textDirection w:val="lrTb"/>
            <w:noWrap w:val="false"/>
          </w:tcPr>
          <w:p w14:paraId="188F50F5"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R$ 1.924,00</w:t>
            </w:r>
            <w:r>
              <w:rPr>
                <w:rFonts w:eastAsia="Liberation Sans"/>
                <w:color w:val="000000" w:themeColor="text1"/>
                <w:sz w:val="13"/>
                <w:szCs w:val="13"/>
              </w:rPr>
            </w:r>
          </w:p>
        </w:tc>
        <w:tc>
          <w:tcPr>
            <w:shd w:val="clear" w:color="auto" w:fill="ffffff"/>
            <w:tcBorders>
              <w:top w:val="single" w:color="auto" w:sz="4" w:space="0"/>
              <w:left w:val="single" w:color="auto" w:sz="4" w:space="0"/>
              <w:bottom w:val="single" w:color="auto" w:sz="4" w:space="0"/>
              <w:right w:val="single" w:color="auto" w:sz="4" w:space="0"/>
            </w:tcBorders>
            <w:tcW w:w="923" w:type="dxa"/>
            <w:vAlign w:val="center"/>
            <w:textDirection w:val="lrTb"/>
            <w:noWrap w:val="false"/>
          </w:tcPr>
          <w:p w14:paraId="4D2198E6"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R$ 1.925,33</w:t>
            </w:r>
            <w:r>
              <w:rPr>
                <w:rFonts w:eastAsia="Liberation Sans"/>
                <w:color w:val="000000" w:themeColor="text1"/>
                <w:sz w:val="13"/>
                <w:szCs w:val="13"/>
              </w:rPr>
            </w:r>
          </w:p>
        </w:tc>
        <w:tc>
          <w:tcPr>
            <w:shd w:val="clear" w:color="auto" w:fill="ffffff"/>
            <w:tcBorders>
              <w:top w:val="single" w:color="auto" w:sz="4" w:space="0"/>
              <w:left w:val="single" w:color="auto" w:sz="4" w:space="0"/>
              <w:bottom w:val="single" w:color="auto" w:sz="4" w:space="0"/>
              <w:right w:val="single" w:color="auto" w:sz="4" w:space="0"/>
            </w:tcBorders>
            <w:tcW w:w="1020" w:type="dxa"/>
            <w:vAlign w:val="center"/>
            <w:textDirection w:val="lrTb"/>
            <w:noWrap w:val="false"/>
          </w:tcPr>
          <w:p w14:paraId="1CF39DDA"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R$ 2.000,00</w:t>
            </w:r>
            <w:r>
              <w:rPr>
                <w:rFonts w:eastAsia="Liberation Sans"/>
                <w:color w:val="000000" w:themeColor="text1"/>
                <w:sz w:val="13"/>
                <w:szCs w:val="13"/>
              </w:rPr>
            </w:r>
          </w:p>
        </w:tc>
        <w:tc>
          <w:tcPr>
            <w:shd w:val="clear" w:color="auto" w:fill="ffffff"/>
            <w:tcBorders>
              <w:top w:val="single" w:color="auto" w:sz="4" w:space="0"/>
              <w:left w:val="single" w:color="auto" w:sz="4" w:space="0"/>
              <w:bottom w:val="single" w:color="auto" w:sz="4" w:space="0"/>
              <w:right w:val="single" w:color="auto" w:sz="4" w:space="0"/>
            </w:tcBorders>
            <w:tcW w:w="865" w:type="dxa"/>
            <w:vAlign w:val="center"/>
            <w:textDirection w:val="lrTb"/>
            <w:noWrap w:val="false"/>
          </w:tcPr>
          <w:p w14:paraId="48FB760F"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R$ 1.949,7766</w:t>
            </w:r>
            <w:r>
              <w:rPr>
                <w:rFonts w:eastAsia="Liberation Sans"/>
                <w:color w:val="000000" w:themeColor="text1"/>
                <w:sz w:val="13"/>
                <w:szCs w:val="13"/>
              </w:rPr>
            </w:r>
          </w:p>
        </w:tc>
        <w:tc>
          <w:tcPr>
            <w:shd w:val="clear" w:color="auto" w:fill="ffffff"/>
            <w:tcBorders>
              <w:top w:val="single" w:color="auto" w:sz="4" w:space="0"/>
              <w:left w:val="single" w:color="auto" w:sz="4" w:space="0"/>
              <w:bottom w:val="single" w:color="auto" w:sz="4" w:space="0"/>
              <w:right w:val="single" w:color="auto" w:sz="4" w:space="0"/>
            </w:tcBorders>
            <w:tcW w:w="1053" w:type="dxa"/>
            <w:vAlign w:val="center"/>
            <w:textDirection w:val="lrTb"/>
            <w:noWrap w:val="false"/>
          </w:tcPr>
          <w:p w14:paraId="71ECEA53"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R$ 77.991,06</w:t>
            </w:r>
            <w:r>
              <w:rPr>
                <w:rFonts w:eastAsia="Liberation Sans"/>
                <w:color w:val="000000" w:themeColor="text1"/>
                <w:sz w:val="13"/>
                <w:szCs w:val="13"/>
              </w:rPr>
            </w:r>
          </w:p>
        </w:tc>
      </w:tr>
      <w:tr>
        <w:trPr>
          <w:tblCellSpacing w:w="0" w:type="dxa"/>
          <w:trHeight w:val="425"/>
        </w:trPr>
        <w:tc>
          <w:tcPr>
            <w:shd w:val="clear" w:color="auto" w:fill="ffffff"/>
            <w:tcBorders>
              <w:top w:val="single" w:color="auto" w:sz="4" w:space="0"/>
              <w:left w:val="single" w:color="auto" w:sz="4" w:space="0"/>
              <w:bottom w:val="single" w:color="auto" w:sz="4" w:space="0"/>
              <w:right w:val="single" w:color="auto" w:sz="4" w:space="0"/>
            </w:tcBorders>
            <w:tcW w:w="762" w:type="dxa"/>
            <w:vAlign w:val="center"/>
            <w:textDirection w:val="lrTb"/>
            <w:noWrap w:val="false"/>
          </w:tcPr>
          <w:p w14:paraId="2814C8F8" w14:textId="77777777">
            <w:pPr>
              <w:pBdr/>
              <w:shd w:val="clear" w:color="auto" w:fill="ffffff"/>
              <w:spacing/>
              <w:ind/>
              <w:jc w:val="center"/>
              <w:rPr>
                <w:rFonts w:eastAsia="Liberation Sans"/>
                <w:color w:val="000000" w:themeColor="text1"/>
                <w:sz w:val="15"/>
                <w:szCs w:val="15"/>
              </w:rPr>
            </w:pPr>
            <w:r>
              <w:rPr>
                <w:rFonts w:eastAsia="Liberation Sans"/>
                <w:color w:val="000000"/>
                <w:sz w:val="15"/>
                <w:szCs w:val="15"/>
                <w:lang w:val="en-US" w:eastAsia="zh-CN" w:bidi="ar"/>
              </w:rPr>
              <w:t xml:space="preserve">3</w:t>
            </w:r>
            <w:r>
              <w:rPr>
                <w:rFonts w:eastAsia="Liberation Sans"/>
                <w:color w:val="000000" w:themeColor="text1"/>
                <w:sz w:val="15"/>
                <w:szCs w:val="15"/>
              </w:rPr>
            </w:r>
          </w:p>
        </w:tc>
        <w:tc>
          <w:tcPr>
            <w:shd w:val="clear" w:color="auto" w:fill="ffffff"/>
            <w:tcBorders>
              <w:top w:val="single" w:color="auto" w:sz="4" w:space="0"/>
              <w:left w:val="single" w:color="auto" w:sz="4" w:space="0"/>
              <w:bottom w:val="single" w:color="auto" w:sz="4" w:space="0"/>
              <w:right w:val="single" w:color="auto" w:sz="4" w:space="0"/>
            </w:tcBorders>
            <w:tcW w:w="3112" w:type="dxa"/>
            <w:vAlign w:val="center"/>
            <w:textDirection w:val="lrTb"/>
            <w:noWrap w:val="false"/>
          </w:tcPr>
          <w:p w14:paraId="406E8CD6" w14:textId="77777777">
            <w:pPr>
              <w:pBdr/>
              <w:spacing/>
              <w:ind/>
              <w:rPr>
                <w:rFonts w:eastAsia="Liberation Sans"/>
                <w:color w:val="000000" w:themeColor="text1"/>
                <w:sz w:val="15"/>
                <w:szCs w:val="15"/>
              </w:rPr>
            </w:pPr>
            <w:r>
              <w:rPr>
                <w:rFonts w:eastAsia="Liberation Sans"/>
                <w:color w:val="000000"/>
                <w:sz w:val="15"/>
                <w:szCs w:val="15"/>
                <w:lang w:eastAsia="zh-CN" w:bidi="ar"/>
              </w:rPr>
              <w:t xml:space="preserve">SERVIÇO DE TRANSLADO FUNERÁRIO TERRESTRE, POR MEIO DE VEÍCULO FUNERÁRIO APROPRIADO / ESPECIALIZADO. CONFORME TERMO DE REFERÊNCIA.</w:t>
            </w:r>
            <w:r>
              <w:rPr>
                <w:rFonts w:eastAsia="Liberation Sans"/>
                <w:color w:val="000000" w:themeColor="text1"/>
                <w:sz w:val="15"/>
                <w:szCs w:val="15"/>
              </w:rPr>
            </w:r>
          </w:p>
        </w:tc>
        <w:tc>
          <w:tcPr>
            <w:shd w:val="clear" w:color="auto" w:fill="ffffff"/>
            <w:tcBorders>
              <w:top w:val="single" w:color="auto" w:sz="4" w:space="0"/>
              <w:left w:val="single" w:color="auto" w:sz="4" w:space="0"/>
              <w:bottom w:val="single" w:color="auto" w:sz="4" w:space="0"/>
              <w:right w:val="single" w:color="auto" w:sz="4" w:space="0"/>
            </w:tcBorders>
            <w:tcW w:w="955" w:type="dxa"/>
            <w:vAlign w:val="center"/>
            <w:textDirection w:val="lrTb"/>
            <w:noWrap w:val="false"/>
          </w:tcPr>
          <w:p w14:paraId="6C1DD72A"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QUILOMETRO</w:t>
            </w:r>
            <w:r>
              <w:rPr>
                <w:rFonts w:eastAsia="Liberation Sans"/>
                <w:color w:val="000000" w:themeColor="text1"/>
                <w:sz w:val="13"/>
                <w:szCs w:val="13"/>
              </w:rPr>
            </w:r>
          </w:p>
        </w:tc>
        <w:tc>
          <w:tcPr>
            <w:shd w:val="clear" w:color="auto" w:fill="ffffff"/>
            <w:tcBorders>
              <w:top w:val="single" w:color="auto" w:sz="4" w:space="0"/>
              <w:left w:val="single" w:color="auto" w:sz="4" w:space="0"/>
              <w:bottom w:val="single" w:color="auto" w:sz="4" w:space="0"/>
              <w:right w:val="single" w:color="auto" w:sz="4" w:space="0"/>
            </w:tcBorders>
            <w:tcW w:w="555" w:type="dxa"/>
            <w:vAlign w:val="center"/>
            <w:textDirection w:val="lrTb"/>
            <w:noWrap w:val="false"/>
          </w:tcPr>
          <w:p w14:paraId="4FD455E6" w14:textId="77777777">
            <w:pPr>
              <w:pBdr/>
              <w:spacing/>
              <w:ind/>
              <w:jc w:val="center"/>
              <w:rPr>
                <w:rFonts w:eastAsia="Liberation Sans"/>
                <w:color w:val="000000" w:themeColor="text1"/>
                <w:sz w:val="15"/>
                <w:szCs w:val="15"/>
              </w:rPr>
            </w:pPr>
            <w:r>
              <w:rPr>
                <w:rFonts w:eastAsia="Liberation Sans"/>
                <w:color w:val="000000"/>
                <w:sz w:val="15"/>
                <w:szCs w:val="15"/>
                <w:lang w:val="en-US" w:eastAsia="zh-CN" w:bidi="ar"/>
              </w:rPr>
              <w:t xml:space="preserve">100000</w:t>
            </w:r>
            <w:r>
              <w:rPr>
                <w:rFonts w:eastAsia="Liberation Sans"/>
                <w:color w:val="000000" w:themeColor="text1"/>
                <w:sz w:val="15"/>
                <w:szCs w:val="15"/>
              </w:rPr>
            </w:r>
          </w:p>
        </w:tc>
        <w:tc>
          <w:tcPr>
            <w:shd w:val="clear" w:color="auto" w:fill="ffffff"/>
            <w:tcBorders>
              <w:top w:val="single" w:color="auto" w:sz="4" w:space="0"/>
              <w:left w:val="single" w:color="auto" w:sz="4" w:space="0"/>
              <w:bottom w:val="single" w:color="auto" w:sz="4" w:space="0"/>
              <w:right w:val="single" w:color="auto" w:sz="4" w:space="0"/>
            </w:tcBorders>
            <w:tcW w:w="829" w:type="dxa"/>
            <w:vAlign w:val="center"/>
            <w:textDirection w:val="lrTb"/>
            <w:noWrap w:val="false"/>
          </w:tcPr>
          <w:p w14:paraId="1FF04B46"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R$ 4,57</w:t>
            </w:r>
            <w:r>
              <w:rPr>
                <w:rFonts w:eastAsia="Liberation Sans"/>
                <w:color w:val="000000" w:themeColor="text1"/>
                <w:sz w:val="13"/>
                <w:szCs w:val="13"/>
              </w:rPr>
            </w:r>
          </w:p>
        </w:tc>
        <w:tc>
          <w:tcPr>
            <w:shd w:val="clear" w:color="auto" w:fill="ffffff"/>
            <w:tcBorders>
              <w:top w:val="single" w:color="auto" w:sz="4" w:space="0"/>
              <w:left w:val="single" w:color="auto" w:sz="4" w:space="0"/>
              <w:bottom w:val="single" w:color="auto" w:sz="4" w:space="0"/>
              <w:right w:val="single" w:color="auto" w:sz="4" w:space="0"/>
            </w:tcBorders>
            <w:tcW w:w="923" w:type="dxa"/>
            <w:vAlign w:val="center"/>
            <w:textDirection w:val="lrTb"/>
            <w:noWrap w:val="false"/>
          </w:tcPr>
          <w:p w14:paraId="6084736D"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R$ 4,6900</w:t>
            </w:r>
            <w:r>
              <w:rPr>
                <w:rFonts w:eastAsia="Liberation Sans"/>
                <w:color w:val="000000" w:themeColor="text1"/>
                <w:sz w:val="13"/>
                <w:szCs w:val="13"/>
              </w:rPr>
            </w:r>
          </w:p>
        </w:tc>
        <w:tc>
          <w:tcPr>
            <w:shd w:val="clear" w:color="auto" w:fill="ffffff"/>
            <w:tcBorders>
              <w:top w:val="single" w:color="auto" w:sz="4" w:space="0"/>
              <w:left w:val="single" w:color="auto" w:sz="4" w:space="0"/>
              <w:bottom w:val="single" w:color="auto" w:sz="4" w:space="0"/>
              <w:right w:val="single" w:color="auto" w:sz="4" w:space="0"/>
            </w:tcBorders>
            <w:tcW w:w="1020" w:type="dxa"/>
            <w:vAlign w:val="center"/>
            <w:textDirection w:val="lrTb"/>
            <w:noWrap w:val="false"/>
          </w:tcPr>
          <w:p w14:paraId="544D02E0"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R$ 10,00</w:t>
            </w:r>
            <w:r>
              <w:rPr>
                <w:rFonts w:eastAsia="Liberation Sans"/>
                <w:color w:val="000000" w:themeColor="text1"/>
                <w:sz w:val="13"/>
                <w:szCs w:val="13"/>
              </w:rPr>
            </w:r>
          </w:p>
        </w:tc>
        <w:tc>
          <w:tcPr>
            <w:shd w:val="clear" w:color="auto" w:fill="ffffff"/>
            <w:tcBorders>
              <w:top w:val="single" w:color="auto" w:sz="4" w:space="0"/>
              <w:left w:val="single" w:color="auto" w:sz="4" w:space="0"/>
              <w:bottom w:val="single" w:color="auto" w:sz="4" w:space="0"/>
              <w:right w:val="single" w:color="auto" w:sz="4" w:space="0"/>
            </w:tcBorders>
            <w:tcW w:w="865" w:type="dxa"/>
            <w:vAlign w:val="center"/>
            <w:textDirection w:val="lrTb"/>
            <w:noWrap w:val="false"/>
          </w:tcPr>
          <w:p w14:paraId="297422E5"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R$ 6,42</w:t>
            </w:r>
            <w:r>
              <w:rPr>
                <w:rFonts w:eastAsia="Liberation Sans"/>
                <w:color w:val="000000" w:themeColor="text1"/>
                <w:sz w:val="13"/>
                <w:szCs w:val="13"/>
              </w:rPr>
            </w:r>
          </w:p>
        </w:tc>
        <w:tc>
          <w:tcPr>
            <w:shd w:val="clear" w:color="auto" w:fill="ffffff"/>
            <w:tcBorders>
              <w:top w:val="single" w:color="auto" w:sz="4" w:space="0"/>
              <w:left w:val="single" w:color="auto" w:sz="4" w:space="0"/>
              <w:bottom w:val="single" w:color="auto" w:sz="4" w:space="0"/>
              <w:right w:val="single" w:color="auto" w:sz="4" w:space="0"/>
            </w:tcBorders>
            <w:tcW w:w="1053" w:type="dxa"/>
            <w:vAlign w:val="center"/>
            <w:textDirection w:val="lrTb"/>
            <w:noWrap w:val="false"/>
          </w:tcPr>
          <w:p w14:paraId="676B64A9"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R$ 642.000,00</w:t>
            </w:r>
            <w:r>
              <w:rPr>
                <w:rFonts w:eastAsia="Liberation Sans"/>
                <w:color w:val="000000" w:themeColor="text1"/>
                <w:sz w:val="13"/>
                <w:szCs w:val="13"/>
              </w:rPr>
            </w:r>
          </w:p>
        </w:tc>
      </w:tr>
      <w:tr>
        <w:trPr>
          <w:gridAfter w:val="8"/>
          <w:tblCellSpacing w:w="0" w:type="dxa"/>
          <w:trHeight w:val="305"/>
        </w:trPr>
        <w:tc>
          <w:tcPr>
            <w:shd w:val="clear" w:color="auto" w:fill="ffffff"/>
            <w:tcBorders>
              <w:top w:val="single" w:color="auto" w:sz="4" w:space="0"/>
              <w:left w:val="single" w:color="auto" w:sz="4" w:space="0"/>
              <w:bottom w:val="single" w:color="auto" w:sz="4" w:space="0"/>
              <w:right w:val="single" w:color="auto" w:sz="4" w:space="0"/>
            </w:tcBorders>
            <w:tcW w:w="762" w:type="dxa"/>
            <w:vAlign w:val="center"/>
            <w:textDirection w:val="lrTb"/>
            <w:noWrap w:val="false"/>
          </w:tcPr>
          <w:p w14:paraId="3C9C3764" w14:textId="77777777">
            <w:pPr>
              <w:pBdr/>
              <w:spacing/>
              <w:ind/>
              <w:jc w:val="center"/>
              <w:rPr>
                <w:rFonts w:eastAsia="Liberation Sans"/>
                <w:b/>
                <w:bCs/>
                <w:color w:val="000000"/>
                <w:sz w:val="13"/>
                <w:szCs w:val="13"/>
                <w:lang w:eastAsia="zh-CN" w:bidi="ar"/>
              </w:rPr>
            </w:pPr>
            <w:r>
              <w:rPr>
                <w:rFonts w:eastAsia="Liberation Sans"/>
                <w:b/>
                <w:bCs/>
                <w:color w:val="000000"/>
                <w:sz w:val="13"/>
                <w:szCs w:val="13"/>
                <w:lang w:eastAsia="zh-CN" w:bidi="ar"/>
              </w:rPr>
              <w:t xml:space="preserve">R$ 860.678,86</w:t>
            </w:r>
            <w:r>
              <w:rPr>
                <w:rFonts w:eastAsia="Liberation Sans"/>
                <w:b/>
                <w:bCs/>
                <w:color w:val="000000"/>
                <w:sz w:val="13"/>
                <w:szCs w:val="13"/>
                <w:lang w:eastAsia="zh-CN" w:bidi="ar"/>
              </w:rPr>
            </w:r>
          </w:p>
        </w:tc>
      </w:tr>
    </w:tbl>
    <w:p w14:paraId="0736B2D4" w14:textId="77777777">
      <w:pPr>
        <w:pBdr/>
        <w:shd w:val="clear" w:color="auto" w:fill="ffffff" w:themeFill="background1"/>
        <w:spacing/>
        <w:ind/>
        <w:jc w:val="both"/>
        <w:rPr/>
      </w:pPr>
      <w:r/>
      <w:r/>
    </w:p>
    <w:p w14:paraId="587715D4" w14:textId="77777777">
      <w:pPr>
        <w:pBdr/>
        <w:shd w:val="clear" w:color="auto" w:fill="ffffff" w:themeFill="background1"/>
        <w:spacing w:line="360" w:lineRule="auto"/>
        <w:ind/>
        <w:jc w:val="both"/>
        <w:rPr>
          <w:sz w:val="24"/>
          <w:szCs w:val="24"/>
        </w:rPr>
      </w:pPr>
      <w:r>
        <w:rPr>
          <w:sz w:val="24"/>
          <w:szCs w:val="24"/>
        </w:rPr>
        <w:t xml:space="preserve">1.2. Objeto: O presente Termo de Referência tem por objeto o Registro de Preços para futura e eventual contratação de serviços funerários de translado e tanatopraxia, destinados ao atendimento das necessidades de famílias em situação de vul</w:t>
      </w:r>
      <w:r>
        <w:rPr>
          <w:sz w:val="24"/>
          <w:szCs w:val="24"/>
        </w:rPr>
        <w:t xml:space="preserve">nerabilidade socioeconômica, assistidas pela Secretaria Municipal de Promoção e Assistência Social – SEMPRAS. A contratação visa assegurar atendimento digno, célere e adequado às situações de óbito, garantindo suporte essencial às ações de proteção social.</w:t>
      </w:r>
      <w:r>
        <w:rPr>
          <w:sz w:val="24"/>
          <w:szCs w:val="24"/>
        </w:rPr>
      </w:r>
    </w:p>
    <w:p w14:paraId="6B8D434D" w14:textId="77777777">
      <w:pPr>
        <w:pBdr/>
        <w:shd w:val="clear" w:color="auto" w:fill="ffffff" w:themeFill="background1"/>
        <w:spacing w:line="360" w:lineRule="auto"/>
        <w:ind/>
        <w:jc w:val="both"/>
        <w:rPr>
          <w:sz w:val="24"/>
          <w:szCs w:val="24"/>
        </w:rPr>
      </w:pPr>
      <w:r>
        <w:rPr>
          <w:sz w:val="24"/>
          <w:szCs w:val="24"/>
        </w:rPr>
        <w:t xml:space="preserve">1.3. Classificação do objeto: Os serviços a ser</w:t>
      </w:r>
      <w:r>
        <w:rPr>
          <w:sz w:val="24"/>
          <w:szCs w:val="24"/>
        </w:rPr>
        <w:t xml:space="preserve">em contratados enquadram-se como serviços comuns, uma vez que possuem padrões de desempenho e qualidade objetivamente definidos pela Administração, nos termos do art. 6º, inciso XXXVIII, da Lei nº 14.133/2021. O Registro de Preços será operacionalizado de </w:t>
      </w:r>
      <w:r>
        <w:rPr>
          <w:sz w:val="24"/>
          <w:szCs w:val="24"/>
        </w:rPr>
        <w:t xml:space="preserve">forma a permitir contratações parceladas, conforme a demanda, em observância ao art. 40, V, alínea “b”, da referida Lei, garantindo economicidade, ampla competitividade e adequação ao interesse público.</w:t>
      </w:r>
      <w:r>
        <w:rPr>
          <w:sz w:val="24"/>
          <w:szCs w:val="24"/>
        </w:rPr>
      </w:r>
    </w:p>
    <w:p w14:paraId="255BC049" w14:textId="77777777">
      <w:pPr>
        <w:pBdr/>
        <w:shd w:val="clear" w:color="auto" w:fill="ffffff" w:themeFill="background1"/>
        <w:spacing w:line="360" w:lineRule="auto"/>
        <w:ind/>
        <w:jc w:val="both"/>
        <w:rPr>
          <w:sz w:val="24"/>
          <w:szCs w:val="24"/>
        </w:rPr>
      </w:pPr>
      <w:r>
        <w:rPr>
          <w:sz w:val="24"/>
          <w:szCs w:val="24"/>
        </w:rPr>
        <w:t xml:space="preserve">1.4. O fornecimento dos serviços será realizado de forma parcelada e conforme a necessidade da Administração, mediante emissão de ordens de serviço ou documento eq</w:t>
      </w:r>
      <w:r>
        <w:rPr>
          <w:sz w:val="24"/>
          <w:szCs w:val="24"/>
        </w:rPr>
        <w:t xml:space="preserve">uivalente, durante a vigência da Ata de Registro de Preços. Essa sistemática assegura maior eficiência no uso dos recursos públicos, evitando contratações desnecessárias e ajustando a prestação dos serviços à demanda real da política de assistência social.</w:t>
      </w:r>
      <w:r>
        <w:rPr>
          <w:sz w:val="24"/>
          <w:szCs w:val="24"/>
        </w:rPr>
      </w:r>
    </w:p>
    <w:p w14:paraId="4BEC65CB" w14:textId="77777777">
      <w:pPr>
        <w:pBdr/>
        <w:shd w:val="clear" w:color="auto" w:fill="ffffff" w:themeFill="background1"/>
        <w:spacing w:line="360" w:lineRule="auto"/>
        <w:ind/>
        <w:jc w:val="both"/>
        <w:rPr>
          <w:sz w:val="24"/>
          <w:szCs w:val="24"/>
        </w:rPr>
      </w:pPr>
      <w:r>
        <w:rPr>
          <w:sz w:val="24"/>
          <w:szCs w:val="24"/>
        </w:rPr>
        <w:t xml:space="preserve">1.5. Justificativa da pesquisa de preços: A pesquisa de preços foi realizada conforme o art. 23, §1º, I, da Lei nº 14.133/2021, contemplando consultas a empresas locais que prestam serviços funerários de translado e tanatopraxia, bem como</w:t>
      </w:r>
      <w:r>
        <w:rPr>
          <w:sz w:val="24"/>
          <w:szCs w:val="24"/>
        </w:rPr>
        <w:t xml:space="preserve"> às plataformas oficiais Radar de Preços, Painel de Preços e Banco de Preços. Os valores obtidos foram consolidados em mapa anexo, assegurando estimativa compatível com o mercado e observância aos princípios da economicidade, vantajosidade e transparência.</w:t>
      </w:r>
      <w:r>
        <w:rPr>
          <w:sz w:val="24"/>
          <w:szCs w:val="24"/>
        </w:rPr>
      </w:r>
    </w:p>
    <w:p w14:paraId="4709FC34" w14:textId="77777777">
      <w:pPr>
        <w:pBdr/>
        <w:shd w:val="clear" w:color="auto" w:fill="ffffff" w:themeFill="background1"/>
        <w:spacing w:line="360" w:lineRule="auto"/>
        <w:ind/>
        <w:jc w:val="both"/>
        <w:rPr>
          <w:sz w:val="24"/>
          <w:szCs w:val="24"/>
        </w:rPr>
      </w:pPr>
      <w:r>
        <w:rPr>
          <w:sz w:val="24"/>
          <w:szCs w:val="24"/>
        </w:rPr>
        <w:t xml:space="preserve">1.6. Da contratação: A Ata de Registro de Preços terá vigência de 12 (doze) meses, conforme art. 105 da Lei nº 14.133/2021, podendo ser prorrogada por igual período, desde que demonstrado o interesse público. O contrato decorrente poderá ser reajustado apó</w:t>
      </w:r>
      <w:r>
        <w:rPr>
          <w:sz w:val="24"/>
          <w:szCs w:val="24"/>
        </w:rPr>
        <w:t xml:space="preserve">s 12 (doze) meses da data-base, nos termos do art. 92 da mesma Lei, adotando-se o Índice Nacional de Preços ao Consumidor Amplo (IPCA), divulgado pelo IBGE. Ressalta-se que a formalização contratual poderá ocorrer antes do término da vigência da Ata, confo</w:t>
      </w:r>
      <w:r>
        <w:rPr>
          <w:sz w:val="24"/>
          <w:szCs w:val="24"/>
        </w:rPr>
        <w:t xml:space="preserve">rme art. 90, §4º, desde que respeitados os princípios da legalidade, vinculação ao instrumento convocatório e vantajosidade para a Administração.</w:t>
      </w:r>
      <w:r>
        <w:rPr>
          <w:sz w:val="24"/>
          <w:szCs w:val="24"/>
        </w:rPr>
      </w:r>
    </w:p>
    <w:p w14:paraId="651D4076" w14:textId="77777777">
      <w:pPr>
        <w:pBdr/>
        <w:shd w:val="clear" w:color="auto" w:fill="ffffff" w:themeFill="background1"/>
        <w:spacing w:line="360" w:lineRule="auto"/>
        <w:ind/>
        <w:jc w:val="both"/>
        <w:rPr>
          <w:sz w:val="24"/>
          <w:szCs w:val="24"/>
        </w:rPr>
      </w:pPr>
      <w:r>
        <w:rPr>
          <w:sz w:val="24"/>
          <w:szCs w:val="24"/>
        </w:rPr>
        <w:t xml:space="preserve">1.7. Garantia contratual: Fica dispensada a exigência de garantia contratual, considerando que se trata de serviços comuns devidamente padronizados e de baixo risco op</w:t>
      </w:r>
      <w:r>
        <w:rPr>
          <w:sz w:val="24"/>
          <w:szCs w:val="24"/>
        </w:rPr>
        <w:t xml:space="preserve">eracional, conforme art. 6º, inciso XXIII, da Lei nº 14.133/2021. As penalidades aplicáveis em caso de inadimplemento seguirão o disposto nos arts. 156 a 159 da Lei, resguardando o interesse público e a continuidade dos atendimentos à população vulnerável.</w:t>
      </w:r>
      <w:r>
        <w:rPr>
          <w:sz w:val="24"/>
          <w:szCs w:val="24"/>
        </w:rPr>
      </w:r>
    </w:p>
    <w:p w14:paraId="2E3EEC73" w14:textId="1A2218F4">
      <w:pPr>
        <w:pBdr/>
        <w:shd w:val="clear" w:color="auto" w:fill="ffffff" w:themeFill="background1"/>
        <w:spacing w:line="360" w:lineRule="auto"/>
        <w:ind/>
        <w:jc w:val="both"/>
        <w:rPr>
          <w:sz w:val="24"/>
          <w:szCs w:val="24"/>
        </w:rPr>
      </w:pPr>
      <w:r>
        <w:rPr>
          <w:sz w:val="24"/>
          <w:szCs w:val="24"/>
        </w:rPr>
        <w:t xml:space="preserve">1.8. </w:t>
      </w:r>
      <w:r>
        <w:rPr>
          <w:sz w:val="24"/>
          <w:szCs w:val="24"/>
        </w:rPr>
        <w:t xml:space="preserve">O contrato futuro a ser celebrado terá vigência de 12 (doze) meses, contados a partir de sua assinatura, podendo ser prorrogado, mediante</w:t>
      </w:r>
      <w:r>
        <w:rPr>
          <w:sz w:val="24"/>
          <w:szCs w:val="24"/>
        </w:rPr>
        <w:t xml:space="preserve"> decisão motivada da Administração, desde que demonstrada, de forma expressa, a vantajosidade da prorrogação, o interesse público e o atendimento dos requisitos legais, nos termos do art. 107 da Lei nº 14.133/2021, observada a natureza contínua do serviço.</w:t>
      </w:r>
      <w:r>
        <w:rPr>
          <w:sz w:val="24"/>
          <w:szCs w:val="24"/>
        </w:rPr>
      </w:r>
    </w:p>
    <w:p w14:paraId="3F01BBBD" w14:textId="77777777">
      <w:pPr>
        <w:pBdr>
          <w:top w:val="single" w:color="000000" w:sz="4" w:space="0"/>
          <w:left w:val="single" w:color="000000" w:sz="4" w:space="0"/>
          <w:bottom w:val="single" w:color="000000" w:sz="4" w:space="0"/>
          <w:right w:val="single" w:color="000000" w:sz="4" w:space="0"/>
        </w:pBdr>
        <w:shd w:val="clear" w:color="auto" w:fill="cccccc"/>
        <w:tabs>
          <w:tab w:val="left" w:leader="none" w:pos="567"/>
        </w:tabs>
        <w:spacing/>
        <w:ind/>
        <w:jc w:val="center"/>
        <w:rPr>
          <w:b/>
          <w:bCs/>
        </w:rPr>
      </w:pPr>
      <w:r>
        <w:rPr>
          <w:b/>
          <w:bCs/>
        </w:rPr>
        <w:t xml:space="preserve">2. FUNDAMENTAÇÃO E DESCRIÇÃO DA NECESSIDADE DA CONTRATAÇÃO</w:t>
      </w:r>
      <w:r>
        <w:rPr>
          <w:b/>
          <w:bCs/>
        </w:rPr>
      </w:r>
    </w:p>
    <w:p w14:paraId="408C11D5" w14:textId="77777777">
      <w:pPr>
        <w:pBdr/>
        <w:tabs>
          <w:tab w:val="left" w:leader="none" w:pos="0"/>
        </w:tabs>
        <w:spacing w:line="360" w:lineRule="auto"/>
        <w:ind/>
        <w:jc w:val="both"/>
        <w:rPr>
          <w:sz w:val="24"/>
          <w:szCs w:val="24"/>
        </w:rPr>
      </w:pPr>
      <w:r>
        <w:rPr>
          <w:sz w:val="24"/>
          <w:szCs w:val="24"/>
        </w:rPr>
        <w:t xml:space="preserve">2.1. A presente contratação, a ser realizada por meio do Sistema de Registro de Preços (SRP), tem por finalidade garantir a prestação futura e eventual </w:t>
      </w:r>
      <w:r>
        <w:rPr>
          <w:sz w:val="24"/>
          <w:szCs w:val="24"/>
        </w:rPr>
        <w:t xml:space="preserve">de serviços funerários de translado e tanatopraxia, destinados ao atendimento de famílias em situação de vulnerabilidade socioeconômica assistidas pela Secretaria Municipal de Promoção e Assistência Social (SEMPRAS) de Rondonópolis-MT. Trata-se de serviço </w:t>
      </w:r>
      <w:r>
        <w:rPr>
          <w:sz w:val="24"/>
          <w:szCs w:val="24"/>
        </w:rPr>
        <w:t xml:space="preserve">indispensável à execução da política de assistência social, assegurando dignidade, respeito e amparo às famílias em situações de falecimento.</w:t>
      </w:r>
      <w:r>
        <w:rPr>
          <w:sz w:val="24"/>
          <w:szCs w:val="24"/>
        </w:rPr>
      </w:r>
    </w:p>
    <w:p w14:paraId="5894FFDB" w14:textId="77777777">
      <w:pPr>
        <w:pBdr/>
        <w:tabs>
          <w:tab w:val="left" w:leader="none" w:pos="0"/>
        </w:tabs>
        <w:spacing w:line="360" w:lineRule="auto"/>
        <w:ind/>
        <w:jc w:val="both"/>
        <w:rPr>
          <w:sz w:val="24"/>
          <w:szCs w:val="24"/>
        </w:rPr>
      </w:pPr>
      <w:r>
        <w:rPr>
          <w:sz w:val="24"/>
          <w:szCs w:val="24"/>
        </w:rPr>
        <w:t xml:space="preserve">2.2. A contratação justifica-se em razão da demanda frequente e crescente identificada pela rede socioassistencial da SEMPRAS, especialmente pelos Centros de Referência de Assistência Social (CRAS) e Centros de Referência Especializado de Assistência Socia</w:t>
      </w:r>
      <w:r>
        <w:rPr>
          <w:sz w:val="24"/>
          <w:szCs w:val="24"/>
        </w:rPr>
        <w:t xml:space="preserve">l (CREAS) que acompanha famílias em condições de risco e vulnerabilidade. Nessas situações, torna-se necessário o apoio imediato da Administração para custear procedimentos funerários essenciais, serviços cuja natureza é urgente, inadiável e diretamente vi</w:t>
      </w:r>
      <w:r>
        <w:rPr>
          <w:sz w:val="24"/>
          <w:szCs w:val="24"/>
        </w:rPr>
        <w:t xml:space="preserve">nculada à proteção social.</w:t>
      </w:r>
      <w:r>
        <w:rPr>
          <w:sz w:val="24"/>
          <w:szCs w:val="24"/>
        </w:rPr>
      </w:r>
    </w:p>
    <w:p w14:paraId="6728487A" w14:textId="77777777">
      <w:pPr>
        <w:pBdr/>
        <w:tabs>
          <w:tab w:val="left" w:leader="none" w:pos="0"/>
        </w:tabs>
        <w:spacing w:line="360" w:lineRule="auto"/>
        <w:ind/>
        <w:jc w:val="both"/>
        <w:rPr>
          <w:sz w:val="24"/>
          <w:szCs w:val="24"/>
        </w:rPr>
      </w:pPr>
      <w:r>
        <w:rPr>
          <w:sz w:val="24"/>
          <w:szCs w:val="24"/>
        </w:rPr>
        <w:t xml:space="preserve">2.3. Os serviços funerários previstos neste Termo de Referência serão prestados exclusivamente em situações de óbito, independentemente de sua causa  natural, acidental ou decorrente de outros eventos não abrangendo o translado de pessoas vivas em tratamen</w:t>
      </w:r>
      <w:r>
        <w:rPr>
          <w:sz w:val="24"/>
          <w:szCs w:val="24"/>
        </w:rPr>
        <w:t xml:space="preserve">to de saúde fora do município, haja vista que tais deslocamentos já são de responsabilidade da Secretaria Municipal de Saúde. A presente contratação destina-se, portanto, exclusivamente ao atendimento das famílias acompanhadas pela SEMPRAS, garantindo resp</w:t>
      </w:r>
      <w:r>
        <w:rPr>
          <w:sz w:val="24"/>
          <w:szCs w:val="24"/>
        </w:rPr>
        <w:t xml:space="preserve">osta célere, digna e adequada às demandas emergências e continuadas relacionadas a falecimentos.</w:t>
      </w:r>
      <w:r>
        <w:rPr>
          <w:sz w:val="24"/>
          <w:szCs w:val="24"/>
        </w:rPr>
      </w:r>
    </w:p>
    <w:p w14:paraId="0F715AF2" w14:textId="77777777">
      <w:pPr>
        <w:pBdr/>
        <w:tabs>
          <w:tab w:val="left" w:leader="none" w:pos="0"/>
        </w:tabs>
        <w:spacing w:line="360" w:lineRule="auto"/>
        <w:ind/>
        <w:jc w:val="both"/>
        <w:rPr>
          <w:sz w:val="24"/>
          <w:szCs w:val="24"/>
        </w:rPr>
      </w:pPr>
      <w:r>
        <w:rPr>
          <w:sz w:val="24"/>
          <w:szCs w:val="24"/>
        </w:rPr>
        <w:t xml:space="preserve">2.4. Os serviços de translado e tanatopraxia deverão atender integralmente às especificações técnicas previstas neste Termo de Referência, observando obrigatoriamente os seguintes requisitos:</w:t>
      </w:r>
      <w:r>
        <w:rPr>
          <w:sz w:val="24"/>
          <w:szCs w:val="24"/>
        </w:rPr>
      </w:r>
    </w:p>
    <w:p w14:paraId="0ABABB9A" w14:textId="77777777">
      <w:pPr>
        <w:widowControl w:val="false"/>
        <w:numPr>
          <w:ilvl w:val="0"/>
          <w:numId w:val="37"/>
        </w:numPr>
        <w:pBdr/>
        <w:tabs>
          <w:tab w:val="left" w:leader="none" w:pos="0"/>
          <w:tab w:val="clear" w:leader="none" w:pos="420"/>
        </w:tabs>
        <w:spacing w:line="360" w:lineRule="auto"/>
        <w:ind/>
        <w:jc w:val="both"/>
        <w:rPr>
          <w:sz w:val="24"/>
          <w:szCs w:val="24"/>
        </w:rPr>
      </w:pPr>
      <w:r>
        <w:rPr>
          <w:sz w:val="24"/>
          <w:szCs w:val="24"/>
        </w:rPr>
        <w:t xml:space="preserve">Qualidade e segurança, com execução conforme normas sanitárias, regulamentações vigentes e procedimentos técnicos adequados;</w:t>
      </w:r>
      <w:r>
        <w:rPr>
          <w:sz w:val="24"/>
          <w:szCs w:val="24"/>
        </w:rPr>
      </w:r>
    </w:p>
    <w:p w14:paraId="38BBB393" w14:textId="77777777">
      <w:pPr>
        <w:widowControl w:val="false"/>
        <w:numPr>
          <w:ilvl w:val="0"/>
          <w:numId w:val="37"/>
        </w:numPr>
        <w:pBdr/>
        <w:tabs>
          <w:tab w:val="left" w:leader="none" w:pos="0"/>
          <w:tab w:val="clear" w:leader="none" w:pos="420"/>
        </w:tabs>
        <w:spacing w:line="360" w:lineRule="auto"/>
        <w:ind/>
        <w:jc w:val="both"/>
        <w:rPr>
          <w:sz w:val="24"/>
          <w:szCs w:val="24"/>
        </w:rPr>
      </w:pPr>
      <w:r>
        <w:rPr>
          <w:sz w:val="24"/>
          <w:szCs w:val="24"/>
        </w:rPr>
        <w:t xml:space="preserve">Rapidez e eficiência, considerando o caráter emergencial e sensível das situações em que o serviço será demandado;</w:t>
      </w:r>
      <w:r>
        <w:rPr>
          <w:sz w:val="24"/>
          <w:szCs w:val="24"/>
        </w:rPr>
      </w:r>
    </w:p>
    <w:p w14:paraId="13E4E3D3" w14:textId="77777777">
      <w:pPr>
        <w:widowControl w:val="false"/>
        <w:numPr>
          <w:ilvl w:val="0"/>
          <w:numId w:val="37"/>
        </w:numPr>
        <w:pBdr/>
        <w:tabs>
          <w:tab w:val="left" w:leader="none" w:pos="0"/>
          <w:tab w:val="clear" w:leader="none" w:pos="420"/>
        </w:tabs>
        <w:spacing w:line="360" w:lineRule="auto"/>
        <w:ind/>
        <w:jc w:val="both"/>
        <w:rPr>
          <w:sz w:val="24"/>
          <w:szCs w:val="24"/>
        </w:rPr>
      </w:pPr>
      <w:r>
        <w:rPr>
          <w:sz w:val="24"/>
          <w:szCs w:val="24"/>
        </w:rPr>
        <w:t xml:space="preserve">Adequação técnica, garantindo a correta preparação, conservação e manuseio do corpo, quando cabível;</w:t>
      </w:r>
      <w:r>
        <w:rPr>
          <w:sz w:val="24"/>
          <w:szCs w:val="24"/>
        </w:rPr>
      </w:r>
    </w:p>
    <w:p w14:paraId="4F04CBD3" w14:textId="77777777">
      <w:pPr>
        <w:widowControl w:val="false"/>
        <w:numPr>
          <w:ilvl w:val="0"/>
          <w:numId w:val="37"/>
        </w:numPr>
        <w:pBdr/>
        <w:tabs>
          <w:tab w:val="left" w:leader="none" w:pos="0"/>
          <w:tab w:val="clear" w:leader="none" w:pos="420"/>
        </w:tabs>
        <w:spacing w:line="360" w:lineRule="auto"/>
        <w:ind/>
        <w:jc w:val="both"/>
        <w:rPr>
          <w:sz w:val="24"/>
          <w:szCs w:val="24"/>
        </w:rPr>
      </w:pPr>
      <w:r>
        <w:rPr>
          <w:sz w:val="24"/>
          <w:szCs w:val="24"/>
        </w:rPr>
        <w:t xml:space="preserve">Regularidade perante os órgãos sanitários e funerários, assegurando conformidade com exigências legais e normativas;</w:t>
      </w:r>
      <w:r>
        <w:rPr>
          <w:sz w:val="24"/>
          <w:szCs w:val="24"/>
        </w:rPr>
      </w:r>
    </w:p>
    <w:p w14:paraId="060C4402" w14:textId="77777777">
      <w:pPr>
        <w:widowControl w:val="false"/>
        <w:numPr>
          <w:ilvl w:val="0"/>
          <w:numId w:val="37"/>
        </w:numPr>
        <w:pBdr/>
        <w:tabs>
          <w:tab w:val="left" w:leader="none" w:pos="0"/>
          <w:tab w:val="clear" w:leader="none" w:pos="420"/>
        </w:tabs>
        <w:spacing w:line="360" w:lineRule="auto"/>
        <w:ind/>
        <w:jc w:val="both"/>
        <w:rPr>
          <w:sz w:val="24"/>
          <w:szCs w:val="24"/>
        </w:rPr>
      </w:pPr>
      <w:r>
        <w:rPr>
          <w:sz w:val="24"/>
          <w:szCs w:val="24"/>
        </w:rPr>
        <w:t xml:space="preserve">Condições apropriadas de transporte, garantindo respeito, integridade e segurança durante todo o processo de translado.</w:t>
      </w:r>
      <w:r>
        <w:rPr>
          <w:sz w:val="24"/>
          <w:szCs w:val="24"/>
        </w:rPr>
      </w:r>
    </w:p>
    <w:p w14:paraId="1F99B8DA" w14:textId="77777777">
      <w:pPr>
        <w:pBdr/>
        <w:tabs>
          <w:tab w:val="left" w:leader="none" w:pos="0"/>
        </w:tabs>
        <w:spacing w:line="360" w:lineRule="auto"/>
        <w:ind/>
        <w:jc w:val="both"/>
        <w:rPr>
          <w:sz w:val="24"/>
          <w:szCs w:val="24"/>
        </w:rPr>
      </w:pPr>
      <w:r>
        <w:rPr>
          <w:sz w:val="24"/>
          <w:szCs w:val="24"/>
        </w:rPr>
        <w:t xml:space="preserve">2.5. Para assegurar a conformidade técnica, a empresa contratada deverá possuir estrutura física e operacional adequada, veículos específicos para</w:t>
      </w:r>
      <w:r>
        <w:rPr>
          <w:sz w:val="24"/>
          <w:szCs w:val="24"/>
        </w:rPr>
        <w:t xml:space="preserve"> transporte funerário, equipamentos compatíveis com os procedimentos de tanatopraxia e profissionais habilitados, observando-se os padrões normativos aplicáveis, incluindo requisitos sanitários e técnico-operacionais exigidos pelas autoridades competentes.</w:t>
      </w:r>
      <w:r>
        <w:rPr>
          <w:sz w:val="24"/>
          <w:szCs w:val="24"/>
        </w:rPr>
      </w:r>
    </w:p>
    <w:p w14:paraId="6755388B" w14:textId="77777777">
      <w:pPr>
        <w:pBdr/>
        <w:tabs>
          <w:tab w:val="left" w:leader="none" w:pos="0"/>
        </w:tabs>
        <w:spacing w:line="360" w:lineRule="auto"/>
        <w:ind/>
        <w:jc w:val="both"/>
        <w:rPr>
          <w:sz w:val="24"/>
          <w:szCs w:val="24"/>
        </w:rPr>
      </w:pPr>
      <w:r>
        <w:rPr>
          <w:sz w:val="24"/>
          <w:szCs w:val="24"/>
        </w:rPr>
        <w:t xml:space="preserve">2.6. A empresa deverá comprovar capacidade técnica e regularida</w:t>
      </w:r>
      <w:r>
        <w:rPr>
          <w:sz w:val="24"/>
          <w:szCs w:val="24"/>
        </w:rPr>
        <w:t xml:space="preserve">de jurídica nos termos da Lei nº 14.133/2021, demonstrando aptidão para realizar serviços funerários de forma contínua, segura e em conformidade com as necessidades da Administração Municipal, assegurando o atendimento humanizado às famílias beneficiárias.</w:t>
      </w:r>
      <w:r>
        <w:rPr>
          <w:sz w:val="24"/>
          <w:szCs w:val="24"/>
        </w:rPr>
      </w:r>
    </w:p>
    <w:p w14:paraId="4B6712EC" w14:textId="77777777">
      <w:pPr>
        <w:pBdr/>
        <w:tabs>
          <w:tab w:val="left" w:leader="none" w:pos="0"/>
        </w:tabs>
        <w:spacing w:line="360" w:lineRule="auto"/>
        <w:ind/>
        <w:jc w:val="both"/>
        <w:rPr>
          <w:sz w:val="24"/>
          <w:szCs w:val="24"/>
        </w:rPr>
      </w:pPr>
      <w:r>
        <w:rPr>
          <w:sz w:val="24"/>
          <w:szCs w:val="24"/>
        </w:rPr>
        <w:t xml:space="preserve">2.7. A p</w:t>
      </w:r>
      <w:r>
        <w:rPr>
          <w:sz w:val="24"/>
          <w:szCs w:val="24"/>
        </w:rPr>
        <w:t xml:space="preserve">restação dos serviços será realizada conforme demanda, mediante acionamento formal da Administração, assegurando disponibilidade integral e atendimento imediato sempre que necessário, considerando o caráter imprevisível e eventual das ocorrências de óbito.</w:t>
      </w:r>
      <w:r>
        <w:rPr>
          <w:sz w:val="24"/>
          <w:szCs w:val="24"/>
        </w:rPr>
      </w:r>
    </w:p>
    <w:p w14:paraId="4C4DCD30" w14:textId="77777777">
      <w:pPr>
        <w:pBdr/>
        <w:tabs>
          <w:tab w:val="left" w:leader="none" w:pos="0"/>
        </w:tabs>
        <w:spacing w:line="360" w:lineRule="auto"/>
        <w:ind/>
        <w:jc w:val="both"/>
        <w:rPr>
          <w:sz w:val="24"/>
          <w:szCs w:val="24"/>
        </w:rPr>
      </w:pPr>
      <w:r>
        <w:rPr>
          <w:sz w:val="24"/>
          <w:szCs w:val="24"/>
        </w:rPr>
        <w:t xml:space="preserve">2.8. Em observância ao art. 40, inciso V, alínea “b”, da Lei nº 14.133/</w:t>
      </w:r>
      <w:r>
        <w:rPr>
          <w:sz w:val="24"/>
          <w:szCs w:val="24"/>
        </w:rPr>
        <w:t xml:space="preserve">2021, a contratação será estruturada de forma a garantir ampla competitividade, economicidade e adequação às necessidades da política pública, possibilitando participação de diferentes fornecedores e assegurando o melhor resultado para o interesse público.</w:t>
      </w:r>
      <w:r>
        <w:rPr>
          <w:sz w:val="24"/>
          <w:szCs w:val="24"/>
        </w:rPr>
      </w:r>
    </w:p>
    <w:p w14:paraId="5FC58207" w14:textId="77777777">
      <w:pPr>
        <w:pBdr>
          <w:top w:val="single" w:color="000000" w:sz="4" w:space="0"/>
          <w:left w:val="single" w:color="000000" w:sz="4" w:space="0"/>
          <w:bottom w:val="single" w:color="000000" w:sz="4" w:space="0"/>
          <w:right w:val="single" w:color="000000" w:sz="4" w:space="0"/>
        </w:pBdr>
        <w:shd w:val="clear" w:color="auto" w:fill="cccccc"/>
        <w:tabs>
          <w:tab w:val="left" w:leader="none" w:pos="567"/>
        </w:tabs>
        <w:spacing w:line="276" w:lineRule="auto"/>
        <w:ind/>
        <w:jc w:val="center"/>
        <w:rPr>
          <w:b/>
          <w:bCs/>
        </w:rPr>
      </w:pPr>
      <w:r>
        <w:rPr>
          <w:b/>
          <w:bCs/>
        </w:rPr>
        <w:t xml:space="preserve">3. DESCRIÇÃO DA SOLUÇÃO COMO UM TODO CONSIDERADO O CICLO DE VIDA DO OBJETO:</w:t>
      </w:r>
      <w:r>
        <w:rPr>
          <w:b/>
          <w:bCs/>
        </w:rPr>
      </w:r>
    </w:p>
    <w:p w14:paraId="371A2D58" w14:textId="77777777">
      <w:pPr>
        <w:pBdr/>
        <w:spacing w:line="360" w:lineRule="auto"/>
        <w:ind/>
        <w:jc w:val="both"/>
        <w:rPr>
          <w:sz w:val="24"/>
          <w:szCs w:val="24"/>
        </w:rPr>
      </w:pPr>
      <w:r>
        <w:rPr>
          <w:sz w:val="24"/>
          <w:szCs w:val="24"/>
        </w:rPr>
        <w:t xml:space="preserve">3.1. A solução proposta consiste na adoção do Sistema de Registro de Preços (SRP) para a futura e ev</w:t>
      </w:r>
      <w:r>
        <w:rPr>
          <w:sz w:val="24"/>
          <w:szCs w:val="24"/>
        </w:rPr>
        <w:t xml:space="preserve">entual contratação de serviços funerários de translado e tanatopraxia, destinados ao atendimento de famílias em situação de vulnerabilidade socioeconómico assistidas pela Secretaria Municipal de Promoção e Assistência Social – SEMPRAS. A utilização do SRP </w:t>
      </w:r>
      <w:r>
        <w:rPr>
          <w:b/>
          <w:bCs/>
          <w:sz w:val="24"/>
          <w:szCs w:val="24"/>
        </w:rPr>
        <w:t xml:space="preserve">revela-se adequada diante da natureza imprevisível</w:t>
      </w:r>
      <w:r>
        <w:rPr>
          <w:sz w:val="24"/>
          <w:szCs w:val="24"/>
        </w:rPr>
        <w:t xml:space="preserve">, emergencial e variável da demanda, permitindo contratações sob demanda, conforme os arts. 5º, 11, 18 e 82 da Lei nº 14.133/2021, </w:t>
      </w:r>
      <w:r>
        <w:rPr>
          <w:b/>
          <w:bCs/>
          <w:sz w:val="24"/>
          <w:szCs w:val="24"/>
        </w:rPr>
        <w:t xml:space="preserve">bem como nos termos do art. 294 do Decreto Municipal nº 11.685/2023</w:t>
      </w:r>
      <w:r>
        <w:rPr>
          <w:sz w:val="24"/>
          <w:szCs w:val="24"/>
        </w:rPr>
        <w:t xml:space="preserve">, que regulamenta, no âmbito do Município de Rondonópolis, a adoção do Sistema de Registro de Preços como instrumento de planejamento, eficiência administrativa e racionalização das contratações públicas</w:t>
      </w:r>
      <w:r>
        <w:rPr>
          <w:sz w:val="24"/>
          <w:szCs w:val="24"/>
        </w:rPr>
      </w:r>
    </w:p>
    <w:p w14:paraId="024A6AE7" w14:textId="77777777">
      <w:pPr>
        <w:pBdr/>
        <w:spacing w:line="360" w:lineRule="auto"/>
        <w:ind/>
        <w:jc w:val="both"/>
        <w:rPr>
          <w:sz w:val="24"/>
          <w:szCs w:val="24"/>
        </w:rPr>
      </w:pPr>
      <w:r>
        <w:rPr>
          <w:sz w:val="24"/>
          <w:szCs w:val="24"/>
        </w:rPr>
        <w:t xml:space="preserve">3.2. Os serviços funerários ora previstos serão prestados exclusivamente em situações de óbito, em qualquer circunstância que caracterize morte natural, acidental ou decorrente de outros eventos, não abrangendo o translado de pessoas vivas em tratamento de</w:t>
      </w:r>
      <w:r>
        <w:rPr>
          <w:sz w:val="24"/>
          <w:szCs w:val="24"/>
        </w:rPr>
        <w:t xml:space="preserve"> saúde fora do município, atividade já desempenhada pela Secretaria Municipal de Saúde. A contratação destina-se ao atendimento de famílias em situação de vulnerabilidade socioeconômica, garantindo resposta célere e adequada às ocorrências relacionadas a f</w:t>
      </w:r>
      <w:r>
        <w:rPr>
          <w:sz w:val="24"/>
          <w:szCs w:val="24"/>
        </w:rPr>
        <w:t xml:space="preserve">alecimentos.</w:t>
      </w:r>
      <w:r>
        <w:rPr>
          <w:sz w:val="24"/>
          <w:szCs w:val="24"/>
        </w:rPr>
      </w:r>
    </w:p>
    <w:p w14:paraId="7BF3E2E7" w14:textId="77777777">
      <w:pPr>
        <w:pBdr/>
        <w:spacing w:line="360" w:lineRule="auto"/>
        <w:ind/>
        <w:jc w:val="both"/>
        <w:rPr>
          <w:sz w:val="24"/>
          <w:szCs w:val="24"/>
        </w:rPr>
      </w:pPr>
      <w:r>
        <w:rPr>
          <w:sz w:val="24"/>
          <w:szCs w:val="24"/>
        </w:rPr>
        <w:t xml:space="preserve">3.3. A prestação dos serviços de translado e tanatopraxia configura medida essencia</w:t>
      </w:r>
      <w:r>
        <w:rPr>
          <w:sz w:val="24"/>
          <w:szCs w:val="24"/>
        </w:rPr>
        <w:t xml:space="preserve">l para assegurar dignidade, respeito e apoio às famílias atendidas. A execução dos procedimentos deverá ocorrer no prazo máximo de 4 (quatro) horas, contadas da solicitação formal da Secretaria, em razão do caráter urgente, sensível e inadiável da demanda.</w:t>
      </w:r>
      <w:r>
        <w:rPr>
          <w:sz w:val="24"/>
          <w:szCs w:val="24"/>
        </w:rPr>
      </w:r>
    </w:p>
    <w:p w14:paraId="5654A098" w14:textId="77777777">
      <w:pPr>
        <w:pBdr/>
        <w:spacing w:line="360" w:lineRule="auto"/>
        <w:ind/>
        <w:jc w:val="both"/>
        <w:rPr>
          <w:sz w:val="24"/>
          <w:szCs w:val="24"/>
        </w:rPr>
      </w:pPr>
      <w:r>
        <w:rPr>
          <w:sz w:val="24"/>
          <w:szCs w:val="24"/>
        </w:rPr>
        <w:t xml:space="preserve">3.4. A adoção do SRP constitui estratégia juridicamente adequada e tecnicamente vantajosa, assegurando:</w:t>
      </w:r>
      <w:r>
        <w:rPr>
          <w:sz w:val="24"/>
          <w:szCs w:val="24"/>
        </w:rPr>
      </w:r>
    </w:p>
    <w:p w14:paraId="07A1CE8C" w14:textId="77777777">
      <w:pPr>
        <w:widowControl w:val="false"/>
        <w:numPr>
          <w:ilvl w:val="0"/>
          <w:numId w:val="37"/>
        </w:numPr>
        <w:pBdr/>
        <w:spacing w:line="360" w:lineRule="auto"/>
        <w:ind/>
        <w:jc w:val="both"/>
        <w:rPr>
          <w:sz w:val="24"/>
          <w:szCs w:val="24"/>
        </w:rPr>
      </w:pPr>
      <w:r>
        <w:rPr>
          <w:sz w:val="24"/>
          <w:szCs w:val="24"/>
        </w:rPr>
        <w:t xml:space="preserve">flexibilidade para atendimento conforme a demanda real;</w:t>
      </w:r>
      <w:r>
        <w:rPr>
          <w:sz w:val="24"/>
          <w:szCs w:val="24"/>
        </w:rPr>
      </w:r>
    </w:p>
    <w:p w14:paraId="657D96D7" w14:textId="77777777">
      <w:pPr>
        <w:widowControl w:val="false"/>
        <w:numPr>
          <w:ilvl w:val="0"/>
          <w:numId w:val="37"/>
        </w:numPr>
        <w:pBdr/>
        <w:spacing w:line="360" w:lineRule="auto"/>
        <w:ind/>
        <w:jc w:val="both"/>
        <w:rPr>
          <w:sz w:val="24"/>
          <w:szCs w:val="24"/>
        </w:rPr>
      </w:pPr>
      <w:r>
        <w:rPr>
          <w:sz w:val="24"/>
          <w:szCs w:val="24"/>
        </w:rPr>
        <w:t xml:space="preserve">economicidade, mediante redução de contratações isoladas e sucessivas;</w:t>
      </w:r>
      <w:r>
        <w:rPr>
          <w:sz w:val="24"/>
          <w:szCs w:val="24"/>
        </w:rPr>
      </w:r>
    </w:p>
    <w:p w14:paraId="1E10A8F9" w14:textId="77777777">
      <w:pPr>
        <w:widowControl w:val="false"/>
        <w:numPr>
          <w:ilvl w:val="0"/>
          <w:numId w:val="37"/>
        </w:numPr>
        <w:pBdr/>
        <w:spacing w:line="360" w:lineRule="auto"/>
        <w:ind/>
        <w:jc w:val="both"/>
        <w:rPr>
          <w:sz w:val="24"/>
          <w:szCs w:val="24"/>
        </w:rPr>
      </w:pPr>
      <w:r>
        <w:rPr>
          <w:sz w:val="24"/>
          <w:szCs w:val="24"/>
        </w:rPr>
        <w:t xml:space="preserve">planejamento eficiente, em conformidade com os arts. 5º, 11 e 18 da Lei nº 14.133/2021;</w:t>
      </w:r>
      <w:r>
        <w:rPr>
          <w:sz w:val="24"/>
          <w:szCs w:val="24"/>
        </w:rPr>
      </w:r>
    </w:p>
    <w:p w14:paraId="002F1D65" w14:textId="77777777">
      <w:pPr>
        <w:widowControl w:val="false"/>
        <w:numPr>
          <w:ilvl w:val="0"/>
          <w:numId w:val="37"/>
        </w:numPr>
        <w:pBdr/>
        <w:spacing w:line="360" w:lineRule="auto"/>
        <w:ind/>
        <w:jc w:val="both"/>
        <w:rPr>
          <w:sz w:val="24"/>
          <w:szCs w:val="24"/>
        </w:rPr>
      </w:pPr>
      <w:r>
        <w:rPr>
          <w:sz w:val="24"/>
          <w:szCs w:val="24"/>
        </w:rPr>
        <w:t xml:space="preserve">mitigação de riscos e resposta célere às necessidades das unidades socioassistenciais;</w:t>
      </w:r>
      <w:r>
        <w:rPr>
          <w:sz w:val="24"/>
          <w:szCs w:val="24"/>
        </w:rPr>
      </w:r>
    </w:p>
    <w:p w14:paraId="2A87635D" w14:textId="77777777">
      <w:pPr>
        <w:widowControl w:val="false"/>
        <w:numPr>
          <w:ilvl w:val="0"/>
          <w:numId w:val="37"/>
        </w:numPr>
        <w:pBdr/>
        <w:spacing w:line="360" w:lineRule="auto"/>
        <w:ind/>
        <w:jc w:val="both"/>
        <w:rPr>
          <w:sz w:val="24"/>
          <w:szCs w:val="24"/>
        </w:rPr>
      </w:pPr>
      <w:r>
        <w:rPr>
          <w:sz w:val="24"/>
          <w:szCs w:val="24"/>
        </w:rPr>
        <w:t xml:space="preserve">garantia de continuidade e qualidade na prestação dos serviços funerários;</w:t>
      </w:r>
      <w:r>
        <w:rPr>
          <w:sz w:val="24"/>
          <w:szCs w:val="24"/>
        </w:rPr>
      </w:r>
    </w:p>
    <w:p w14:paraId="26FBBF0E" w14:textId="77777777">
      <w:pPr>
        <w:widowControl w:val="false"/>
        <w:numPr>
          <w:ilvl w:val="0"/>
          <w:numId w:val="37"/>
        </w:numPr>
        <w:pBdr/>
        <w:spacing w:line="360" w:lineRule="auto"/>
        <w:ind/>
        <w:jc w:val="both"/>
        <w:rPr>
          <w:sz w:val="24"/>
          <w:szCs w:val="24"/>
        </w:rPr>
      </w:pPr>
      <w:r>
        <w:rPr>
          <w:sz w:val="24"/>
          <w:szCs w:val="24"/>
        </w:rPr>
        <w:t xml:space="preserve">observância das diretrizes da política municipal de assistência social.</w:t>
      </w:r>
      <w:r>
        <w:rPr>
          <w:sz w:val="24"/>
          <w:szCs w:val="24"/>
        </w:rPr>
      </w:r>
    </w:p>
    <w:p w14:paraId="22DD3CE7" w14:textId="77777777">
      <w:pPr>
        <w:pBdr/>
        <w:spacing w:line="360" w:lineRule="auto"/>
        <w:ind/>
        <w:jc w:val="both"/>
        <w:rPr>
          <w:sz w:val="24"/>
          <w:szCs w:val="24"/>
        </w:rPr>
      </w:pPr>
      <w:r>
        <w:rPr>
          <w:sz w:val="24"/>
          <w:szCs w:val="24"/>
        </w:rPr>
        <w:t xml:space="preserve">3.5. Considerado o ciclo de vida do objeto, o atendimento envolverá as seguintes etapas:</w:t>
      </w:r>
      <w:r>
        <w:rPr>
          <w:sz w:val="24"/>
          <w:szCs w:val="24"/>
        </w:rPr>
      </w:r>
    </w:p>
    <w:p w14:paraId="1C7621F8" w14:textId="77777777">
      <w:pPr>
        <w:pBdr/>
        <w:spacing w:line="360" w:lineRule="auto"/>
        <w:ind/>
        <w:jc w:val="both"/>
        <w:rPr>
          <w:sz w:val="24"/>
          <w:szCs w:val="24"/>
        </w:rPr>
      </w:pPr>
      <w:r>
        <w:rPr>
          <w:sz w:val="24"/>
          <w:szCs w:val="24"/>
        </w:rPr>
        <w:t xml:space="preserve">I – planejamento, registro e gestão dos serviços em Ata de Registro de Preços;</w:t>
      </w:r>
      <w:r>
        <w:rPr>
          <w:sz w:val="24"/>
          <w:szCs w:val="24"/>
        </w:rPr>
      </w:r>
    </w:p>
    <w:p w14:paraId="7B01D579" w14:textId="77777777">
      <w:pPr>
        <w:pBdr/>
        <w:spacing w:line="360" w:lineRule="auto"/>
        <w:ind/>
        <w:jc w:val="both"/>
        <w:rPr>
          <w:sz w:val="24"/>
          <w:szCs w:val="24"/>
        </w:rPr>
      </w:pPr>
      <w:r>
        <w:rPr>
          <w:sz w:val="24"/>
          <w:szCs w:val="24"/>
        </w:rPr>
        <w:t xml:space="preserve">II – at</w:t>
      </w:r>
      <w:r>
        <w:rPr>
          <w:sz w:val="24"/>
          <w:szCs w:val="24"/>
        </w:rPr>
        <w:t xml:space="preserve">endimento das solicitações de tanatopraxia e translado funerário terrestre, com início no Município de Rondonópolis/MT e abrangência municipal, intermunicipal ou interestadual, dentro do território brasileiro, observando o prazo máximo de 4 (quatro) horas.</w:t>
      </w:r>
      <w:r>
        <w:rPr>
          <w:sz w:val="24"/>
          <w:szCs w:val="24"/>
        </w:rPr>
      </w:r>
    </w:p>
    <w:p w14:paraId="10676D82" w14:textId="77777777">
      <w:pPr>
        <w:pBdr/>
        <w:spacing w:line="360" w:lineRule="auto"/>
        <w:ind/>
        <w:jc w:val="both"/>
        <w:rPr>
          <w:sz w:val="24"/>
          <w:szCs w:val="24"/>
        </w:rPr>
      </w:pPr>
      <w:r>
        <w:rPr>
          <w:sz w:val="24"/>
          <w:szCs w:val="24"/>
        </w:rPr>
        <w:t xml:space="preserve">III – execução operacional dos serviços pelas empresas registradas, em conformidade com as exigências sanitárias, legais e técnicas previstas neste Termo de Referência;</w:t>
      </w:r>
      <w:r>
        <w:rPr>
          <w:sz w:val="24"/>
          <w:szCs w:val="24"/>
        </w:rPr>
      </w:r>
    </w:p>
    <w:p w14:paraId="6AE0D317" w14:textId="77777777">
      <w:pPr>
        <w:pBdr/>
        <w:spacing w:line="360" w:lineRule="auto"/>
        <w:ind/>
        <w:jc w:val="both"/>
        <w:rPr>
          <w:sz w:val="24"/>
          <w:szCs w:val="24"/>
        </w:rPr>
      </w:pPr>
      <w:r>
        <w:rPr>
          <w:sz w:val="24"/>
          <w:szCs w:val="24"/>
        </w:rPr>
        <w:t xml:space="preserve">IV – fiscalização e acompanhamento contínuo pela SEMPRAS, garantindo conformidade, tempestividade e qualidade;</w:t>
      </w:r>
      <w:r>
        <w:rPr>
          <w:sz w:val="24"/>
          <w:szCs w:val="24"/>
        </w:rPr>
      </w:r>
    </w:p>
    <w:p w14:paraId="4E0F0268" w14:textId="77777777">
      <w:pPr>
        <w:pBdr/>
        <w:spacing w:line="360" w:lineRule="auto"/>
        <w:ind/>
        <w:jc w:val="both"/>
        <w:rPr>
          <w:sz w:val="24"/>
          <w:szCs w:val="24"/>
        </w:rPr>
      </w:pPr>
      <w:r>
        <w:rPr>
          <w:sz w:val="24"/>
          <w:szCs w:val="24"/>
        </w:rPr>
        <w:t xml:space="preserve">V – monitoramento dos resultados, com análise de desempenho, economicidade, regularidade sanitária e aderência ao interesse público;</w:t>
      </w:r>
      <w:r>
        <w:rPr>
          <w:sz w:val="24"/>
          <w:szCs w:val="24"/>
        </w:rPr>
      </w:r>
    </w:p>
    <w:p w14:paraId="30DC1CBC" w14:textId="77777777">
      <w:pPr>
        <w:pBdr/>
        <w:spacing w:line="360" w:lineRule="auto"/>
        <w:ind/>
        <w:jc w:val="both"/>
        <w:rPr>
          <w:sz w:val="24"/>
          <w:szCs w:val="24"/>
        </w:rPr>
      </w:pPr>
      <w:r>
        <w:rPr>
          <w:sz w:val="24"/>
          <w:szCs w:val="24"/>
        </w:rPr>
        <w:t xml:space="preserve">VI – revisão periódica da solução e dos parâmetros adotados, visando o aprimoramento da gestão e a sustentabilidade administrativa.</w:t>
      </w:r>
      <w:r>
        <w:rPr>
          <w:sz w:val="24"/>
          <w:szCs w:val="24"/>
        </w:rPr>
      </w:r>
    </w:p>
    <w:p w14:paraId="074720AE" w14:textId="77777777">
      <w:pPr>
        <w:pBdr/>
        <w:spacing w:line="360" w:lineRule="auto"/>
        <w:ind/>
        <w:jc w:val="both"/>
        <w:rPr>
          <w:sz w:val="24"/>
          <w:szCs w:val="24"/>
        </w:rPr>
      </w:pPr>
      <w:r>
        <w:rPr>
          <w:sz w:val="24"/>
          <w:szCs w:val="24"/>
        </w:rPr>
        <w:t xml:space="preserve">3.6. A utilização do SRP proporciona segurança administrativa, otimização dos recursos públicos, redução de riscos operacionais e maior eficiência à política municipal de assistência social. Ademais, permite atendimento imediato às famílias em situação d</w:t>
      </w:r>
      <w:r>
        <w:rPr>
          <w:sz w:val="24"/>
          <w:szCs w:val="24"/>
        </w:rPr>
        <w:t xml:space="preserve">e vulnerabilidade, eliminando a necessidade de repetidas aberturas de procedimentos licitatórios e assegurando resposta humanizada, célere e alinhada aos princípios da dignidade da pessoa humana, eficiência, economicidade, planejamento e interesse público.</w:t>
      </w:r>
      <w:r>
        <w:rPr>
          <w:sz w:val="24"/>
          <w:szCs w:val="24"/>
        </w:rPr>
      </w:r>
    </w:p>
    <w:p w14:paraId="4EBD7885" w14:textId="77777777">
      <w:pPr>
        <w:pBdr>
          <w:top w:val="single" w:color="000000" w:sz="4" w:space="0"/>
          <w:left w:val="single" w:color="000000" w:sz="4" w:space="0"/>
          <w:bottom w:val="single" w:color="000000" w:sz="4" w:space="0"/>
          <w:right w:val="single" w:color="000000" w:sz="4" w:space="0"/>
        </w:pBdr>
        <w:shd w:val="clear" w:color="auto" w:fill="cccccc"/>
        <w:tabs>
          <w:tab w:val="left" w:leader="none" w:pos="567"/>
        </w:tabs>
        <w:spacing w:line="276" w:lineRule="auto"/>
        <w:ind/>
        <w:jc w:val="center"/>
        <w:rPr>
          <w:b/>
          <w:bCs/>
        </w:rPr>
      </w:pPr>
      <w:r>
        <w:rPr>
          <w:b/>
          <w:bCs/>
        </w:rPr>
        <w:t xml:space="preserve">4. REQUISITOS DA CONTRATAÇÃO</w:t>
      </w:r>
      <w:r>
        <w:rPr>
          <w:b/>
          <w:bCs/>
        </w:rPr>
      </w:r>
    </w:p>
    <w:p w14:paraId="55C560D4" w14:textId="77777777">
      <w:pPr>
        <w:pStyle w:val="1030"/>
        <w:pBdr/>
        <w:spacing w:line="360" w:lineRule="auto"/>
        <w:ind/>
        <w:jc w:val="both"/>
        <w:rPr>
          <w:sz w:val="24"/>
          <w:szCs w:val="24"/>
        </w:rPr>
      </w:pPr>
      <w:r>
        <w:rPr>
          <w:sz w:val="24"/>
          <w:szCs w:val="24"/>
        </w:rPr>
        <w:t xml:space="preserve">4.1. Vistoria</w:t>
      </w:r>
      <w:r>
        <w:rPr>
          <w:sz w:val="24"/>
          <w:szCs w:val="24"/>
        </w:rPr>
      </w:r>
    </w:p>
    <w:p w14:paraId="10208F0B" w14:textId="77777777">
      <w:pPr>
        <w:pStyle w:val="1030"/>
        <w:pBdr/>
        <w:spacing w:line="360" w:lineRule="auto"/>
        <w:ind/>
        <w:jc w:val="both"/>
        <w:rPr>
          <w:sz w:val="24"/>
          <w:szCs w:val="24"/>
        </w:rPr>
      </w:pPr>
      <w:r>
        <w:rPr>
          <w:sz w:val="24"/>
          <w:szCs w:val="24"/>
        </w:rPr>
        <w:t xml:space="preserve">4.1.1. Não será exigida vistoria prévia pelos licitantes, considerando que os serviços contrat</w:t>
      </w:r>
      <w:r>
        <w:rPr>
          <w:sz w:val="24"/>
          <w:szCs w:val="24"/>
        </w:rPr>
        <w:t xml:space="preserve">ados consistem em translado funerário e tanatopraxia, atividades cuja execução não depende de avaliação técnica de instalações da Administração, mas sim da capacidade operacional da contratada, em conformidade com o art. 5º e art. 40 da Lei nº 14.133/2021.</w:t>
      </w:r>
      <w:r>
        <w:rPr>
          <w:sz w:val="24"/>
          <w:szCs w:val="24"/>
        </w:rPr>
      </w:r>
    </w:p>
    <w:p w14:paraId="4C1C4D4C" w14:textId="77777777">
      <w:pPr>
        <w:pStyle w:val="1030"/>
        <w:pBdr/>
        <w:spacing w:line="360" w:lineRule="auto"/>
        <w:ind/>
        <w:jc w:val="both"/>
        <w:rPr>
          <w:sz w:val="24"/>
          <w:szCs w:val="24"/>
        </w:rPr>
      </w:pPr>
      <w:r>
        <w:rPr>
          <w:sz w:val="24"/>
          <w:szCs w:val="24"/>
        </w:rPr>
        <w:t xml:space="preserve">4.2. Capacidade Operacional Mínima </w:t>
      </w:r>
      <w:r>
        <w:rPr>
          <w:sz w:val="24"/>
          <w:szCs w:val="24"/>
        </w:rPr>
      </w:r>
    </w:p>
    <w:p w14:paraId="74CE2E34" w14:textId="77777777">
      <w:pPr>
        <w:pStyle w:val="1030"/>
        <w:pBdr/>
        <w:spacing w:line="360" w:lineRule="auto"/>
        <w:ind/>
        <w:jc w:val="both"/>
        <w:rPr>
          <w:sz w:val="24"/>
          <w:szCs w:val="24"/>
        </w:rPr>
      </w:pPr>
      <w:r>
        <w:rPr>
          <w:sz w:val="24"/>
          <w:szCs w:val="24"/>
        </w:rPr>
        <w:t xml:space="preserve">4.2.1. A licitante deverá comprovar capacidade técnica e operacional para realizar, de forma imediata, os serviços de coleta, preparação, conservação, tanatopraxia e tr</w:t>
      </w:r>
      <w:r>
        <w:rPr>
          <w:sz w:val="24"/>
          <w:szCs w:val="24"/>
        </w:rPr>
        <w:t xml:space="preserve">anslado funerário dentro do território brasileiro, mediante apresentação de atestado(s) de capacidade técnica compatível(is) com o objeto, emitido(s) por pessoa jurídica de direito público ou privado, nos termos dos arts. 67, 69 e 70 da Lei nº 14.133/2021.</w:t>
      </w:r>
      <w:r>
        <w:rPr>
          <w:sz w:val="24"/>
          <w:szCs w:val="24"/>
        </w:rPr>
      </w:r>
    </w:p>
    <w:p w14:paraId="24CF79AD" w14:textId="77777777">
      <w:pPr>
        <w:pStyle w:val="1030"/>
        <w:pBdr/>
        <w:spacing w:line="360" w:lineRule="auto"/>
        <w:ind/>
        <w:jc w:val="both"/>
        <w:rPr>
          <w:sz w:val="24"/>
          <w:szCs w:val="24"/>
        </w:rPr>
      </w:pPr>
      <w:r>
        <w:rPr>
          <w:sz w:val="24"/>
          <w:szCs w:val="24"/>
        </w:rPr>
        <w:t xml:space="preserve">4.2.2. A contratada deverá manter disponibilidade permanente de estrutura operacional, incluindo equip</w:t>
      </w:r>
      <w:r>
        <w:rPr>
          <w:sz w:val="24"/>
          <w:szCs w:val="24"/>
        </w:rPr>
        <w:t xml:space="preserve">e técnica, veículos funerários devidamente regulamentados, equipamentos adequados para tanatopraxia, materiais de conservação e demais itens indispensáveis para execução do serviço, garantindo atendimento ininterrupto (24 horas por dia, 7 dias por semana).</w:t>
      </w:r>
      <w:r>
        <w:rPr>
          <w:sz w:val="24"/>
          <w:szCs w:val="24"/>
        </w:rPr>
      </w:r>
    </w:p>
    <w:p w14:paraId="467BB432" w14:textId="77777777">
      <w:pPr>
        <w:pStyle w:val="1030"/>
        <w:pBdr/>
        <w:spacing w:line="360" w:lineRule="auto"/>
        <w:ind/>
        <w:jc w:val="both"/>
        <w:rPr>
          <w:sz w:val="24"/>
          <w:szCs w:val="24"/>
        </w:rPr>
      </w:pPr>
      <w:r>
        <w:rPr>
          <w:sz w:val="24"/>
          <w:szCs w:val="24"/>
        </w:rPr>
        <w:t xml:space="preserve">4.2.3. A empresa licitante deverá comprovar na fase contratual, que possui sede devidamente instalada no Município de Rond</w:t>
      </w:r>
      <w:r>
        <w:rPr>
          <w:sz w:val="24"/>
          <w:szCs w:val="24"/>
        </w:rPr>
        <w:t xml:space="preserve">onópolis/MT, com capacidade logística, operacional e técnica suficiente para iniciar a execução dos serviços funerários imediatamente após o recebimento da ordem de serviço, dentro dos prazos estabelecidos neste Termo de Referência. (no momento contratual)</w:t>
      </w:r>
      <w:r>
        <w:rPr>
          <w:sz w:val="24"/>
          <w:szCs w:val="24"/>
        </w:rPr>
      </w:r>
    </w:p>
    <w:p w14:paraId="12BCAD8C" w14:textId="77777777">
      <w:pPr>
        <w:pStyle w:val="1030"/>
        <w:pBdr/>
        <w:spacing w:line="360" w:lineRule="auto"/>
        <w:ind/>
        <w:jc w:val="both"/>
        <w:rPr>
          <w:sz w:val="24"/>
          <w:szCs w:val="24"/>
        </w:rPr>
      </w:pPr>
      <w:r>
        <w:rPr>
          <w:sz w:val="24"/>
          <w:szCs w:val="24"/>
        </w:rPr>
        <w:t xml:space="preserve">4.2.3.1. A exigência de sede local justifica-se pela natureza emergencial do objeto, que demanda resposta célere, disponibi</w:t>
      </w:r>
      <w:r>
        <w:rPr>
          <w:sz w:val="24"/>
          <w:szCs w:val="24"/>
        </w:rPr>
        <w:t xml:space="preserve">lidade permanente de estrutura física, veículos e equipe técnica, sendo imprescindível para assegurar a continuidade, a eficiência e a dignidade do atendimento às famílias em situação de vulnerabilidade socioeconômica assistidas pela Administração Pública.</w:t>
      </w:r>
      <w:r>
        <w:rPr>
          <w:sz w:val="24"/>
          <w:szCs w:val="24"/>
        </w:rPr>
      </w:r>
    </w:p>
    <w:p w14:paraId="6B5A7CFE" w14:textId="77777777">
      <w:pPr>
        <w:pStyle w:val="1030"/>
        <w:pBdr/>
        <w:spacing w:line="360" w:lineRule="auto"/>
        <w:ind/>
        <w:jc w:val="both"/>
        <w:rPr>
          <w:sz w:val="24"/>
          <w:szCs w:val="24"/>
        </w:rPr>
      </w:pPr>
      <w:r>
        <w:rPr>
          <w:sz w:val="24"/>
          <w:szCs w:val="24"/>
        </w:rPr>
        <w:t xml:space="preserve">4.2.3.2. A comprovação poderá ser realizada por meio de declaração, pl</w:t>
      </w:r>
      <w:r>
        <w:rPr>
          <w:sz w:val="24"/>
          <w:szCs w:val="24"/>
        </w:rPr>
        <w:t xml:space="preserve">ano operacional ou documentação equivalente, demonstrando a aptidão para mobilização de recursos e, se necessário, implantação de estrutura local ou regional após a assinatura do contrato, assegurado o atendimento imediato ao início da execução contratual.</w:t>
      </w:r>
      <w:r>
        <w:rPr>
          <w:sz w:val="24"/>
          <w:szCs w:val="24"/>
        </w:rPr>
      </w:r>
    </w:p>
    <w:p w14:paraId="097A11C4" w14:textId="77777777">
      <w:pPr>
        <w:pStyle w:val="1030"/>
        <w:pBdr/>
        <w:spacing w:line="360" w:lineRule="auto"/>
        <w:ind/>
        <w:jc w:val="both"/>
        <w:rPr>
          <w:sz w:val="24"/>
          <w:szCs w:val="24"/>
        </w:rPr>
      </w:pPr>
      <w:r>
        <w:rPr>
          <w:sz w:val="24"/>
          <w:szCs w:val="24"/>
        </w:rPr>
        <w:t xml:space="preserve">4.3. Prazos de Execução</w:t>
      </w:r>
      <w:r>
        <w:rPr>
          <w:sz w:val="24"/>
          <w:szCs w:val="24"/>
        </w:rPr>
      </w:r>
    </w:p>
    <w:p w14:paraId="2B08387D" w14:textId="77777777">
      <w:pPr>
        <w:pStyle w:val="1030"/>
        <w:pBdr/>
        <w:spacing w:line="360" w:lineRule="auto"/>
        <w:ind/>
        <w:jc w:val="both"/>
        <w:rPr>
          <w:sz w:val="24"/>
          <w:szCs w:val="24"/>
        </w:rPr>
      </w:pPr>
      <w:r>
        <w:rPr>
          <w:sz w:val="24"/>
          <w:szCs w:val="24"/>
        </w:rPr>
        <w:t xml:space="preserve">4.3.1. A execução dos serviços será realizada exclusivamente mediante ordem formal emitida pela Secretaria Municipal de Promoção e Assistência Social, por meio de solicitação escrita, eletrônica ou instrumento equivalente.</w:t>
      </w:r>
      <w:r>
        <w:rPr>
          <w:sz w:val="24"/>
          <w:szCs w:val="24"/>
        </w:rPr>
      </w:r>
    </w:p>
    <w:p w14:paraId="756BD44C" w14:textId="77777777">
      <w:pPr>
        <w:pStyle w:val="1030"/>
        <w:pBdr/>
        <w:spacing w:line="360" w:lineRule="auto"/>
        <w:ind/>
        <w:jc w:val="both"/>
        <w:rPr>
          <w:sz w:val="24"/>
          <w:szCs w:val="24"/>
        </w:rPr>
      </w:pPr>
      <w:r>
        <w:rPr>
          <w:sz w:val="24"/>
          <w:szCs w:val="24"/>
        </w:rPr>
        <w:t xml:space="preserve">4.3.2. O início do translado funerário deverá ocorrer dentro do prazo máximo de ate 4(quatro) horas, contado a partir do recebimento da ordem de serviço pela contratada, assegurando resposta imediata e compatível com a natureza emergencial do atendimento.</w:t>
      </w:r>
      <w:r>
        <w:rPr>
          <w:sz w:val="24"/>
          <w:szCs w:val="24"/>
        </w:rPr>
      </w:r>
    </w:p>
    <w:p w14:paraId="44BC4CFD" w14:textId="77777777">
      <w:pPr>
        <w:pStyle w:val="1030"/>
        <w:pBdr/>
        <w:spacing w:line="360" w:lineRule="auto"/>
        <w:ind/>
        <w:jc w:val="both"/>
        <w:rPr>
          <w:sz w:val="24"/>
          <w:szCs w:val="24"/>
        </w:rPr>
      </w:pPr>
      <w:r>
        <w:rPr>
          <w:sz w:val="24"/>
          <w:szCs w:val="24"/>
        </w:rPr>
        <w:t xml:space="preserve">4.3.3. A tanatopraxia deverá ser concluída no prazo </w:t>
      </w:r>
      <w:r>
        <w:rPr>
          <w:sz w:val="24"/>
          <w:szCs w:val="24"/>
        </w:rPr>
        <w:t xml:space="preserve">máximo de 48 (quarenta e oito) horas após o recebimento da ordem formal emitida pela Secretaria, salvo impossibilidade técnica devidamente justificada e aceita pela Administração. O procedimento deverá observar integralmente as normas sanitárias, legais e </w:t>
      </w:r>
      <w:r>
        <w:rPr>
          <w:sz w:val="24"/>
          <w:szCs w:val="24"/>
        </w:rPr>
        <w:t xml:space="preserve">de saúde pública vigentes. O produto utilizado na tanatopraxia deverá assegurar eficácia mínima de conservação de 48 (quarenta e oito) horas no corpo, garantindo condições sanitárias adequadas até o sepultamento..</w:t>
      </w:r>
      <w:r>
        <w:rPr>
          <w:sz w:val="24"/>
          <w:szCs w:val="24"/>
        </w:rPr>
      </w:r>
    </w:p>
    <w:p w14:paraId="06E2569D" w14:textId="77777777">
      <w:pPr>
        <w:pStyle w:val="1030"/>
        <w:pBdr/>
        <w:spacing w:line="360" w:lineRule="auto"/>
        <w:ind/>
        <w:jc w:val="both"/>
        <w:rPr>
          <w:sz w:val="24"/>
          <w:szCs w:val="24"/>
        </w:rPr>
      </w:pPr>
      <w:r>
        <w:rPr>
          <w:sz w:val="24"/>
          <w:szCs w:val="24"/>
        </w:rPr>
        <w:t xml:space="preserve">4.4. Subcontratação</w:t>
      </w:r>
      <w:r>
        <w:rPr>
          <w:sz w:val="24"/>
          <w:szCs w:val="24"/>
        </w:rPr>
      </w:r>
    </w:p>
    <w:p w14:paraId="34216A33" w14:textId="77777777">
      <w:pPr>
        <w:pStyle w:val="1030"/>
        <w:pBdr/>
        <w:spacing w:line="360" w:lineRule="auto"/>
        <w:ind/>
        <w:jc w:val="both"/>
        <w:rPr>
          <w:sz w:val="24"/>
          <w:szCs w:val="24"/>
        </w:rPr>
      </w:pPr>
      <w:r>
        <w:rPr>
          <w:sz w:val="24"/>
          <w:szCs w:val="24"/>
        </w:rPr>
        <w:t xml:space="preserve">4.4.1.É vedada a subcontratação do núcleo essencial do objeto, compreendendo a coordenação do atendimento, a realização dos procedimentos de tanatopraxia e a responsabilidade direta pelo translado funerário, admitindo-se, de forma excepcional e previamente</w:t>
      </w:r>
      <w:r>
        <w:rPr>
          <w:sz w:val="24"/>
          <w:szCs w:val="24"/>
        </w:rPr>
        <w:t xml:space="preserve"> justificada, a subcontratação parcial de atividades acessórias de apoio logístico, quando indispensáveis à execução do serviço em âmbito intermunicipal ou interestadual, permanecendo a contratada integralmente responsável pela execução, qualidade e tempes</w:t>
      </w:r>
      <w:r>
        <w:rPr>
          <w:sz w:val="24"/>
          <w:szCs w:val="24"/>
        </w:rPr>
        <w:t xml:space="preserve">tividade dos serviços, nos termos do art. 121 da Lei nº 14.133/2021.</w:t>
      </w:r>
      <w:r>
        <w:rPr>
          <w:sz w:val="24"/>
          <w:szCs w:val="24"/>
        </w:rPr>
      </w:r>
    </w:p>
    <w:p w14:paraId="00F403F8" w14:textId="77777777">
      <w:pPr>
        <w:pStyle w:val="1030"/>
        <w:pBdr/>
        <w:spacing w:line="360" w:lineRule="auto"/>
        <w:ind/>
        <w:jc w:val="both"/>
        <w:rPr>
          <w:sz w:val="24"/>
          <w:szCs w:val="24"/>
        </w:rPr>
      </w:pPr>
      <w:r>
        <w:rPr>
          <w:sz w:val="24"/>
          <w:szCs w:val="24"/>
        </w:rPr>
        <w:t xml:space="preserve">4.5. Participação de Consórcios</w:t>
      </w:r>
      <w:r>
        <w:rPr>
          <w:sz w:val="24"/>
          <w:szCs w:val="24"/>
        </w:rPr>
      </w:r>
    </w:p>
    <w:p w14:paraId="2C48E19D" w14:textId="77777777">
      <w:pPr>
        <w:pStyle w:val="1030"/>
        <w:pBdr/>
        <w:spacing w:line="360" w:lineRule="auto"/>
        <w:ind/>
        <w:jc w:val="both"/>
        <w:rPr>
          <w:sz w:val="24"/>
          <w:szCs w:val="24"/>
        </w:rPr>
      </w:pPr>
      <w:r>
        <w:rPr>
          <w:sz w:val="24"/>
          <w:szCs w:val="24"/>
        </w:rPr>
        <w:t xml:space="preserve">4.5.1. Não será permitida a participação de empresas em consórci</w:t>
      </w:r>
      <w:r>
        <w:rPr>
          <w:sz w:val="24"/>
          <w:szCs w:val="24"/>
        </w:rPr>
        <w:t xml:space="preserve">o, considerando que os serviços possuem execução direta e contínua, exigindo resposta imediata e estrutura operacional própria, sendo plenamente possível a participação individual sem prejuízo à competitividade, nos termos do art. 15 da Lei nº 14.133/2021.</w:t>
      </w:r>
      <w:r>
        <w:rPr>
          <w:sz w:val="24"/>
          <w:szCs w:val="24"/>
        </w:rPr>
      </w:r>
    </w:p>
    <w:p w14:paraId="03041770" w14:textId="77777777">
      <w:pPr>
        <w:pStyle w:val="1030"/>
        <w:pBdr/>
        <w:spacing w:line="360" w:lineRule="auto"/>
        <w:ind/>
        <w:jc w:val="both"/>
        <w:rPr>
          <w:sz w:val="24"/>
          <w:szCs w:val="24"/>
        </w:rPr>
      </w:pPr>
      <w:r>
        <w:rPr>
          <w:sz w:val="24"/>
          <w:szCs w:val="24"/>
        </w:rPr>
        <w:t xml:space="preserve">4.6. Garantia do Objeto</w:t>
      </w:r>
      <w:r>
        <w:rPr>
          <w:sz w:val="24"/>
          <w:szCs w:val="24"/>
        </w:rPr>
      </w:r>
    </w:p>
    <w:p w14:paraId="4F03C2AB" w14:textId="77777777">
      <w:pPr>
        <w:pStyle w:val="1030"/>
        <w:pBdr/>
        <w:spacing w:line="360" w:lineRule="auto"/>
        <w:ind/>
        <w:jc w:val="both"/>
        <w:rPr>
          <w:sz w:val="24"/>
          <w:szCs w:val="24"/>
        </w:rPr>
      </w:pPr>
      <w:r>
        <w:rPr>
          <w:sz w:val="24"/>
          <w:szCs w:val="24"/>
        </w:rPr>
        <w:t xml:space="preserve">4.6.1. A contratada será integralmente responsável pela qualidade, regularidade e conformidade dos serviços prestados, respondendo por eventuais falhas, omissões ou inadequações, nos termos dos arts. 117, 156 e 159 da Lei nº 14.133/2021.</w:t>
      </w:r>
      <w:r>
        <w:rPr>
          <w:sz w:val="24"/>
          <w:szCs w:val="24"/>
        </w:rPr>
      </w:r>
    </w:p>
    <w:p w14:paraId="5E500B4D" w14:textId="77777777">
      <w:pPr>
        <w:pStyle w:val="1030"/>
        <w:pBdr/>
        <w:spacing w:line="360" w:lineRule="auto"/>
        <w:ind/>
        <w:jc w:val="both"/>
        <w:rPr>
          <w:sz w:val="24"/>
          <w:szCs w:val="24"/>
        </w:rPr>
      </w:pPr>
      <w:r>
        <w:rPr>
          <w:sz w:val="24"/>
          <w:szCs w:val="24"/>
        </w:rPr>
        <w:t xml:space="preserve">4.6.2. Havendo descumprimento das obrigações contratuais, a Administração poderá exigir a imediata correção das falhas, sem ônus adicional, e aplicar as penalidades cabíveis previstas na legislação e no contrato.</w:t>
      </w:r>
      <w:r>
        <w:rPr>
          <w:sz w:val="24"/>
          <w:szCs w:val="24"/>
        </w:rPr>
      </w:r>
    </w:p>
    <w:p w14:paraId="3FCE74B8" w14:textId="77777777">
      <w:pPr>
        <w:pBdr>
          <w:top w:val="single" w:color="000000" w:sz="4" w:space="0"/>
          <w:left w:val="single" w:color="000000" w:sz="4" w:space="0"/>
          <w:bottom w:val="single" w:color="000000" w:sz="4" w:space="0"/>
          <w:right w:val="single" w:color="000000" w:sz="4" w:space="0"/>
        </w:pBdr>
        <w:shd w:val="clear" w:color="auto" w:fill="cccccc"/>
        <w:tabs>
          <w:tab w:val="left" w:leader="none" w:pos="567"/>
        </w:tabs>
        <w:spacing w:after="91"/>
        <w:ind/>
        <w:jc w:val="center"/>
        <w:rPr>
          <w:b/>
          <w:bCs/>
        </w:rPr>
      </w:pPr>
      <w:r>
        <w:rPr>
          <w:b/>
          <w:bCs/>
        </w:rPr>
        <w:t xml:space="preserve">5. MODELO DE EXECUÇÃO DO OBJETO</w:t>
      </w:r>
      <w:r>
        <w:rPr>
          <w:b/>
          <w:bCs/>
        </w:rPr>
      </w:r>
    </w:p>
    <w:p w14:paraId="6E609853" w14:textId="77777777">
      <w:pPr>
        <w:pStyle w:val="1073"/>
        <w:pBdr/>
        <w:shd w:val="clear" w:color="auto" w:fill="ffffff" w:themeFill="background1"/>
        <w:spacing w:after="0" w:before="0" w:line="360" w:lineRule="auto"/>
        <w:ind/>
        <w:rPr>
          <w:rFonts w:ascii="Times New Roman" w:hAnsi="Times New Roman"/>
          <w:sz w:val="24"/>
          <w:szCs w:val="24"/>
        </w:rPr>
      </w:pPr>
      <w:r>
        <w:rPr>
          <w:rFonts w:ascii="Times New Roman" w:hAnsi="Times New Roman"/>
          <w:sz w:val="24"/>
          <w:szCs w:val="24"/>
        </w:rPr>
        <w:t xml:space="preserve">5.1. Condições de Prestação dos Serviços</w:t>
      </w:r>
      <w:r>
        <w:rPr>
          <w:rFonts w:ascii="Times New Roman" w:hAnsi="Times New Roman"/>
          <w:sz w:val="24"/>
          <w:szCs w:val="24"/>
        </w:rPr>
      </w:r>
    </w:p>
    <w:p w14:paraId="0AC08E0F" w14:textId="77777777">
      <w:pPr>
        <w:pStyle w:val="1073"/>
        <w:pBdr/>
        <w:shd w:val="clear" w:color="auto" w:fill="ffffff" w:themeFill="background1"/>
        <w:spacing w:after="0" w:before="0" w:line="360" w:lineRule="auto"/>
        <w:ind/>
        <w:rPr>
          <w:rFonts w:ascii="Times New Roman" w:hAnsi="Times New Roman"/>
          <w:sz w:val="24"/>
          <w:szCs w:val="24"/>
        </w:rPr>
      </w:pPr>
      <w:r>
        <w:rPr>
          <w:rFonts w:ascii="Times New Roman" w:hAnsi="Times New Roman"/>
          <w:sz w:val="24"/>
          <w:szCs w:val="24"/>
        </w:rPr>
        <w:t xml:space="preserve">5.1.1. A execução dos</w:t>
      </w:r>
      <w:r>
        <w:rPr>
          <w:rFonts w:ascii="Times New Roman" w:hAnsi="Times New Roman"/>
          <w:sz w:val="24"/>
          <w:szCs w:val="24"/>
        </w:rPr>
        <w:t xml:space="preserve"> serviços funerários de translado e tanatopraxia será realizada de forma futura, eventual e sob demanda, mediante ordem formal de serviço emitida pela Secretaria Municipal de Promoção e Assistência Social – SEMPRAS, nos termos da Ata de Registro de Preços.</w:t>
      </w:r>
      <w:r>
        <w:rPr>
          <w:rFonts w:ascii="Times New Roman" w:hAnsi="Times New Roman"/>
          <w:sz w:val="24"/>
          <w:szCs w:val="24"/>
        </w:rPr>
      </w:r>
    </w:p>
    <w:p w14:paraId="18168A20" w14:textId="77777777">
      <w:pPr>
        <w:pStyle w:val="1073"/>
        <w:pBdr/>
        <w:shd w:val="clear" w:color="auto" w:fill="ffffff" w:themeFill="background1"/>
        <w:spacing w:after="0" w:before="0" w:line="360" w:lineRule="auto"/>
        <w:ind/>
        <w:rPr>
          <w:rFonts w:ascii="Times New Roman" w:hAnsi="Times New Roman"/>
          <w:sz w:val="24"/>
          <w:szCs w:val="24"/>
        </w:rPr>
      </w:pPr>
      <w:r>
        <w:rPr>
          <w:rFonts w:ascii="Times New Roman" w:hAnsi="Times New Roman"/>
          <w:sz w:val="24"/>
          <w:szCs w:val="24"/>
        </w:rPr>
        <w:t xml:space="preserve">5.1.2. Os serviços destinam-se exclusivamente a situações de óbito, em qualquer circunstância que caracterize morte natural, acidental ou decorrente de outros eventos, não abrangendo o translado de pessoas em </w:t>
      </w:r>
      <w:r>
        <w:rPr>
          <w:rFonts w:ascii="Times New Roman" w:hAnsi="Times New Roman"/>
          <w:sz w:val="24"/>
          <w:szCs w:val="24"/>
        </w:rPr>
        <w:t xml:space="preserve">tratamento de saúde fora do município, por se tratar de atribuição já atendida pela estrutura própria da Secretaria Municipal de Saúde.</w:t>
      </w:r>
      <w:r>
        <w:rPr>
          <w:rFonts w:ascii="Times New Roman" w:hAnsi="Times New Roman"/>
          <w:sz w:val="24"/>
          <w:szCs w:val="24"/>
        </w:rPr>
      </w:r>
    </w:p>
    <w:p w14:paraId="33BDBBB4" w14:textId="77777777">
      <w:pPr>
        <w:pStyle w:val="1073"/>
        <w:pBdr/>
        <w:shd w:val="clear" w:color="auto" w:fill="ffffff" w:themeFill="background1"/>
        <w:spacing w:after="0" w:before="0" w:line="360" w:lineRule="auto"/>
        <w:ind/>
        <w:rPr>
          <w:rFonts w:ascii="Times New Roman" w:hAnsi="Times New Roman"/>
          <w:sz w:val="24"/>
          <w:szCs w:val="24"/>
        </w:rPr>
      </w:pPr>
      <w:r>
        <w:rPr>
          <w:rFonts w:ascii="Times New Roman" w:hAnsi="Times New Roman"/>
          <w:sz w:val="24"/>
          <w:szCs w:val="24"/>
        </w:rPr>
        <w:t xml:space="preserve">5.1.3. A execução do serviço não implica obrigatoriedade de acionamento da totalidade dos quantitativos registrados, observando-se o disposto no art. 82, §1º, da Lei nº 14.133/2021.</w:t>
      </w:r>
      <w:r>
        <w:rPr>
          <w:rFonts w:ascii="Times New Roman" w:hAnsi="Times New Roman"/>
          <w:sz w:val="24"/>
          <w:szCs w:val="24"/>
        </w:rPr>
      </w:r>
    </w:p>
    <w:p w14:paraId="10D6A636" w14:textId="77777777">
      <w:pPr>
        <w:pStyle w:val="1073"/>
        <w:pBdr/>
        <w:shd w:val="clear" w:color="auto" w:fill="ffffff" w:themeFill="background1"/>
        <w:spacing w:after="0" w:before="0" w:line="360" w:lineRule="auto"/>
        <w:ind/>
        <w:rPr>
          <w:rFonts w:ascii="Times New Roman" w:hAnsi="Times New Roman"/>
          <w:sz w:val="24"/>
          <w:szCs w:val="24"/>
        </w:rPr>
      </w:pPr>
      <w:r>
        <w:rPr>
          <w:rFonts w:ascii="Times New Roman" w:hAnsi="Times New Roman"/>
          <w:sz w:val="24"/>
          <w:szCs w:val="24"/>
        </w:rPr>
        <w:t xml:space="preserve">5.1.4. Em caso de impedimento operacional ou justificativa técnica que inviabilize o cumprimento dos prazos, a contratada deverá comunicar formalmente a SEMPRAS, apresentando as razões e o novo prazo estimado, sujeitando-se à análise da Administração.</w:t>
      </w:r>
      <w:r>
        <w:rPr>
          <w:rFonts w:ascii="Times New Roman" w:hAnsi="Times New Roman"/>
          <w:sz w:val="24"/>
          <w:szCs w:val="24"/>
        </w:rPr>
      </w:r>
    </w:p>
    <w:p w14:paraId="15B3137A" w14:textId="77777777">
      <w:pPr>
        <w:pStyle w:val="1073"/>
        <w:pBdr/>
        <w:shd w:val="clear" w:color="auto" w:fill="ffffff" w:themeFill="background1"/>
        <w:spacing w:after="0" w:before="0" w:line="360" w:lineRule="auto"/>
        <w:ind/>
        <w:rPr>
          <w:rFonts w:ascii="Times New Roman" w:hAnsi="Times New Roman"/>
          <w:sz w:val="24"/>
          <w:szCs w:val="24"/>
        </w:rPr>
      </w:pPr>
      <w:r>
        <w:rPr>
          <w:rFonts w:ascii="Times New Roman" w:hAnsi="Times New Roman"/>
          <w:sz w:val="24"/>
          <w:szCs w:val="24"/>
        </w:rPr>
        <w:t xml:space="preserve">5.2. Prazos de Execução</w:t>
      </w:r>
      <w:r>
        <w:rPr>
          <w:rFonts w:ascii="Times New Roman" w:hAnsi="Times New Roman"/>
          <w:sz w:val="24"/>
          <w:szCs w:val="24"/>
        </w:rPr>
      </w:r>
    </w:p>
    <w:p w14:paraId="11FEE918" w14:textId="77777777">
      <w:pPr>
        <w:pStyle w:val="1073"/>
        <w:pBdr/>
        <w:shd w:val="clear" w:color="auto" w:fill="ffffff" w:themeFill="background1"/>
        <w:spacing w:after="0" w:before="0" w:line="360" w:lineRule="auto"/>
        <w:ind/>
        <w:rPr>
          <w:rFonts w:ascii="Times New Roman" w:hAnsi="Times New Roman"/>
          <w:sz w:val="24"/>
          <w:szCs w:val="24"/>
        </w:rPr>
      </w:pPr>
      <w:r>
        <w:rPr>
          <w:rFonts w:ascii="Times New Roman" w:hAnsi="Times New Roman"/>
          <w:sz w:val="24"/>
          <w:szCs w:val="24"/>
        </w:rPr>
        <w:t xml:space="preserve">5.2.1. A execução dos serviços será realizada exclusivamente mediante ordem formal emitida pela Secretaria Municipal de Promoção e Assistência Social, por meio de solicitação escrita, eletrônica ou instrumento equivalente.</w:t>
      </w:r>
      <w:r>
        <w:rPr>
          <w:rFonts w:ascii="Times New Roman" w:hAnsi="Times New Roman"/>
          <w:sz w:val="24"/>
          <w:szCs w:val="24"/>
        </w:rPr>
      </w:r>
    </w:p>
    <w:p w14:paraId="7B40F2EA" w14:textId="77777777">
      <w:pPr>
        <w:pStyle w:val="1073"/>
        <w:pBdr/>
        <w:shd w:val="clear" w:color="auto" w:fill="ffffff" w:themeFill="background1"/>
        <w:spacing w:after="0" w:before="0" w:line="360" w:lineRule="auto"/>
        <w:ind/>
        <w:rPr>
          <w:rFonts w:ascii="Times New Roman" w:hAnsi="Times New Roman"/>
          <w:sz w:val="24"/>
          <w:szCs w:val="24"/>
        </w:rPr>
      </w:pPr>
      <w:r>
        <w:rPr>
          <w:rFonts w:ascii="Times New Roman" w:hAnsi="Times New Roman"/>
          <w:color w:val="auto"/>
          <w:sz w:val="24"/>
          <w:szCs w:val="24"/>
        </w:rPr>
        <w:t xml:space="preserve">5.</w:t>
      </w:r>
      <w:r>
        <w:rPr>
          <w:rFonts w:ascii="Times New Roman" w:hAnsi="Times New Roman"/>
          <w:color w:val="auto"/>
          <w:sz w:val="24"/>
          <w:szCs w:val="24"/>
        </w:rPr>
        <w:t xml:space="preserve">2.1.2. O início do translado funerário deverá ocorrer dentro do prazo máximo de ate 4 (quatro) horas, contado a partir do recebimento da ordem de serviço pela contratada, assegurando resposta imediata e compatível com a natureza emergencial do atendimento.</w:t>
      </w:r>
      <w:r>
        <w:rPr>
          <w:rFonts w:ascii="Times New Roman" w:hAnsi="Times New Roman"/>
          <w:sz w:val="24"/>
          <w:szCs w:val="24"/>
        </w:rPr>
      </w:r>
    </w:p>
    <w:p w14:paraId="05B3F9DE" w14:textId="77777777">
      <w:pPr>
        <w:pStyle w:val="1073"/>
        <w:pBdr/>
        <w:shd w:val="clear" w:color="auto" w:fill="ffffff" w:themeFill="background1"/>
        <w:spacing w:after="0" w:before="0" w:line="360" w:lineRule="auto"/>
        <w:ind/>
        <w:rPr>
          <w:rFonts w:ascii="Times New Roman" w:hAnsi="Times New Roman"/>
          <w:sz w:val="24"/>
          <w:szCs w:val="24"/>
        </w:rPr>
      </w:pPr>
      <w:r>
        <w:rPr>
          <w:rFonts w:ascii="Times New Roman" w:hAnsi="Times New Roman"/>
          <w:sz w:val="24"/>
          <w:szCs w:val="24"/>
        </w:rPr>
        <w:t xml:space="preserve">5.2.2. A tanatopraxia deverá ser concluída no prazo máximo de 48 (quarenta e oito) horas após o recebimento da ordem formal da Secretaria, salvo impossibilidade técnica devidamente justificada e aceita pela fiscalização.</w:t>
      </w:r>
      <w:r>
        <w:rPr>
          <w:rFonts w:ascii="Times New Roman" w:hAnsi="Times New Roman"/>
          <w:sz w:val="24"/>
          <w:szCs w:val="24"/>
        </w:rPr>
      </w:r>
    </w:p>
    <w:p w14:paraId="64855AB1" w14:textId="77777777">
      <w:pPr>
        <w:pStyle w:val="1073"/>
        <w:pBdr/>
        <w:shd w:val="clear" w:color="auto" w:fill="ffffff" w:themeFill="background1"/>
        <w:spacing w:after="0" w:before="0" w:line="360" w:lineRule="auto"/>
        <w:ind/>
        <w:rPr>
          <w:rFonts w:ascii="Times New Roman" w:hAnsi="Times New Roman"/>
          <w:sz w:val="24"/>
          <w:szCs w:val="24"/>
        </w:rPr>
      </w:pPr>
      <w:r>
        <w:rPr>
          <w:rFonts w:ascii="Times New Roman" w:hAnsi="Times New Roman"/>
          <w:sz w:val="24"/>
          <w:szCs w:val="24"/>
        </w:rPr>
        <w:t xml:space="preserve">5.3. Critérios de Medição e Contabilização</w:t>
      </w:r>
      <w:r>
        <w:rPr>
          <w:rFonts w:ascii="Times New Roman" w:hAnsi="Times New Roman"/>
          <w:sz w:val="24"/>
          <w:szCs w:val="24"/>
        </w:rPr>
      </w:r>
    </w:p>
    <w:p w14:paraId="6AF5161C" w14:textId="77777777">
      <w:pPr>
        <w:pStyle w:val="1073"/>
        <w:pBdr/>
        <w:shd w:val="clear" w:color="auto" w:fill="ffffff" w:themeFill="background1"/>
        <w:spacing w:after="0" w:before="0" w:line="360" w:lineRule="auto"/>
        <w:ind/>
        <w:rPr>
          <w:rFonts w:ascii="Times New Roman" w:hAnsi="Times New Roman"/>
          <w:sz w:val="24"/>
          <w:szCs w:val="24"/>
        </w:rPr>
      </w:pPr>
      <w:r>
        <w:rPr>
          <w:rFonts w:ascii="Times New Roman" w:hAnsi="Times New Roman"/>
          <w:sz w:val="24"/>
          <w:szCs w:val="24"/>
        </w:rPr>
        <w:t xml:space="preserve">5.3.1. A quilometragem do translado será contabilizada a partir da saída do veículo da funerária sediada no Município </w:t>
      </w:r>
      <w:r>
        <w:rPr>
          <w:rFonts w:ascii="Times New Roman" w:hAnsi="Times New Roman"/>
          <w:sz w:val="24"/>
          <w:szCs w:val="24"/>
        </w:rPr>
        <w:t xml:space="preserve">de Rondonópolis/MT até o destino final do corpo, em situações exclusivamente de óbito, conforme ordem de serviço emitida pela Administração, podendo o deslocamento ocorrer em âmbito municipal, intermunicipal ou interestadual, dentro do território nacional.</w:t>
      </w:r>
      <w:r>
        <w:rPr>
          <w:rFonts w:ascii="Times New Roman" w:hAnsi="Times New Roman"/>
          <w:sz w:val="24"/>
          <w:szCs w:val="24"/>
        </w:rPr>
      </w:r>
    </w:p>
    <w:p w14:paraId="575E19E5" w14:textId="77777777">
      <w:pPr>
        <w:pStyle w:val="1073"/>
        <w:pBdr/>
        <w:shd w:val="clear" w:color="auto" w:fill="ffffff" w:themeFill="background1"/>
        <w:spacing w:after="0" w:before="0" w:line="360" w:lineRule="auto"/>
        <w:ind/>
        <w:rPr>
          <w:rFonts w:ascii="Times New Roman" w:hAnsi="Times New Roman"/>
          <w:sz w:val="24"/>
          <w:szCs w:val="24"/>
        </w:rPr>
      </w:pPr>
      <w:r>
        <w:rPr>
          <w:rFonts w:ascii="Times New Roman" w:hAnsi="Times New Roman"/>
          <w:sz w:val="24"/>
          <w:szCs w:val="24"/>
        </w:rPr>
        <w:t xml:space="preserve">5.3.2. O produto utili</w:t>
      </w:r>
      <w:r>
        <w:rPr>
          <w:rFonts w:ascii="Times New Roman" w:hAnsi="Times New Roman"/>
          <w:sz w:val="24"/>
          <w:szCs w:val="24"/>
        </w:rPr>
        <w:t xml:space="preserve">zado no procedimento de tanatopraxia deverá garantir eficácia mínima de conservação de 48 (quarenta e oito) horas no corpo, assegurando condições sanitárias adequadas até o sepultamento, em conformidade com as normas sanitárias e de saúde pública vigentes.</w:t>
      </w:r>
      <w:r>
        <w:rPr>
          <w:rFonts w:ascii="Times New Roman" w:hAnsi="Times New Roman"/>
          <w:sz w:val="24"/>
          <w:szCs w:val="24"/>
        </w:rPr>
      </w:r>
    </w:p>
    <w:p w14:paraId="50144B6B" w14:textId="77777777">
      <w:pPr>
        <w:pStyle w:val="1073"/>
        <w:pBdr/>
        <w:shd w:val="clear" w:color="auto" w:fill="ffffff" w:themeFill="background1"/>
        <w:spacing w:after="0" w:before="0" w:line="360" w:lineRule="auto"/>
        <w:ind/>
        <w:rPr>
          <w:rFonts w:ascii="Times New Roman" w:hAnsi="Times New Roman"/>
          <w:sz w:val="24"/>
          <w:szCs w:val="24"/>
        </w:rPr>
      </w:pPr>
      <w:r>
        <w:rPr>
          <w:rFonts w:ascii="Times New Roman" w:hAnsi="Times New Roman"/>
          <w:sz w:val="24"/>
          <w:szCs w:val="24"/>
        </w:rPr>
        <w:t xml:space="preserve">5.4. Condições de Atendimento</w:t>
      </w:r>
      <w:r>
        <w:rPr>
          <w:rFonts w:ascii="Times New Roman" w:hAnsi="Times New Roman"/>
          <w:sz w:val="24"/>
          <w:szCs w:val="24"/>
        </w:rPr>
      </w:r>
    </w:p>
    <w:p w14:paraId="359E30EC" w14:textId="77777777">
      <w:pPr>
        <w:pStyle w:val="1073"/>
        <w:pBdr/>
        <w:shd w:val="clear" w:color="auto" w:fill="ffffff" w:themeFill="background1"/>
        <w:spacing w:after="0" w:before="0" w:line="360" w:lineRule="auto"/>
        <w:ind/>
        <w:rPr>
          <w:rFonts w:ascii="Times New Roman" w:hAnsi="Times New Roman"/>
          <w:sz w:val="24"/>
          <w:szCs w:val="24"/>
        </w:rPr>
      </w:pPr>
      <w:r>
        <w:rPr>
          <w:rFonts w:ascii="Times New Roman" w:hAnsi="Times New Roman"/>
          <w:sz w:val="24"/>
          <w:szCs w:val="24"/>
        </w:rPr>
        <w:t xml:space="preserve">5.4.1.</w:t>
      </w:r>
      <w:r>
        <w:rPr>
          <w:rFonts w:ascii="Times New Roman" w:hAnsi="Times New Roman"/>
          <w:sz w:val="24"/>
          <w:szCs w:val="24"/>
        </w:rPr>
        <w:t xml:space="preserve"> A contratada deverá assegurar disponibilidade operacional contínua, inclusive em finais de semana, feriados e horários não comerciais, dada a natureza imprevisível e inadiável das ocorrências de óbito envolvendo famílias em vulnerabilidade socioeconômica.</w:t>
      </w:r>
      <w:r>
        <w:rPr>
          <w:rFonts w:ascii="Times New Roman" w:hAnsi="Times New Roman"/>
          <w:sz w:val="24"/>
          <w:szCs w:val="24"/>
        </w:rPr>
      </w:r>
    </w:p>
    <w:p w14:paraId="10C79A8A" w14:textId="77777777">
      <w:pPr>
        <w:pStyle w:val="1073"/>
        <w:pBdr/>
        <w:shd w:val="clear" w:color="auto" w:fill="ffffff" w:themeFill="background1"/>
        <w:spacing w:after="0" w:before="0" w:line="360" w:lineRule="auto"/>
        <w:ind/>
        <w:rPr>
          <w:rFonts w:ascii="Times New Roman" w:hAnsi="Times New Roman"/>
          <w:sz w:val="24"/>
          <w:szCs w:val="24"/>
        </w:rPr>
      </w:pPr>
      <w:r>
        <w:rPr>
          <w:rFonts w:ascii="Times New Roman" w:hAnsi="Times New Roman"/>
          <w:sz w:val="24"/>
          <w:szCs w:val="24"/>
        </w:rPr>
        <w:t xml:space="preserve">5.</w:t>
      </w:r>
      <w:r>
        <w:rPr>
          <w:rFonts w:ascii="Times New Roman" w:hAnsi="Times New Roman"/>
          <w:sz w:val="24"/>
          <w:szCs w:val="24"/>
        </w:rPr>
        <w:t xml:space="preserve">4.2. Os serviços deverão ser prestados com observância integral às normas sanitárias, ambientais e regulamentares aplicáveis, incluindo manuseio, conservação, preparação e transporte adequado do corpo, garantindo dignidade e respeito às famílias atendidas.</w:t>
      </w:r>
      <w:r>
        <w:rPr>
          <w:rFonts w:ascii="Times New Roman" w:hAnsi="Times New Roman"/>
          <w:sz w:val="24"/>
          <w:szCs w:val="24"/>
        </w:rPr>
      </w:r>
    </w:p>
    <w:p w14:paraId="54805A93" w14:textId="77777777">
      <w:pPr>
        <w:pStyle w:val="1073"/>
        <w:pBdr/>
        <w:shd w:val="clear" w:color="auto" w:fill="ffffff" w:themeFill="background1"/>
        <w:spacing w:after="0" w:before="0" w:line="360" w:lineRule="auto"/>
        <w:ind/>
        <w:rPr>
          <w:rFonts w:ascii="Times New Roman" w:hAnsi="Times New Roman"/>
          <w:sz w:val="24"/>
          <w:szCs w:val="24"/>
        </w:rPr>
      </w:pPr>
      <w:r>
        <w:rPr>
          <w:rFonts w:ascii="Times New Roman" w:hAnsi="Times New Roman"/>
          <w:sz w:val="24"/>
          <w:szCs w:val="24"/>
        </w:rPr>
        <w:t xml:space="preserve">5.5. Local e Forma de Execução</w:t>
      </w:r>
      <w:r>
        <w:rPr>
          <w:rFonts w:ascii="Times New Roman" w:hAnsi="Times New Roman"/>
          <w:sz w:val="24"/>
          <w:szCs w:val="24"/>
        </w:rPr>
      </w:r>
    </w:p>
    <w:p w14:paraId="5B1FAD51" w14:textId="77777777">
      <w:pPr>
        <w:pStyle w:val="1073"/>
        <w:pBdr/>
        <w:shd w:val="clear" w:color="auto" w:fill="ffffff" w:themeFill="background1"/>
        <w:spacing w:after="0" w:before="0" w:line="360" w:lineRule="auto"/>
        <w:ind/>
        <w:rPr>
          <w:rFonts w:ascii="Times New Roman" w:hAnsi="Times New Roman"/>
          <w:sz w:val="24"/>
          <w:szCs w:val="24"/>
        </w:rPr>
      </w:pPr>
      <w:r>
        <w:rPr>
          <w:rFonts w:ascii="Times New Roman" w:hAnsi="Times New Roman"/>
          <w:sz w:val="24"/>
          <w:szCs w:val="24"/>
        </w:rPr>
        <w:t xml:space="preserve">5.5.1. A execução dos serviços ocorrerá exclusivamente nos locais indicados pela Secretaria Municipal de Promoção e Assistência Social (SEMPRAS), quando caracterizada situação de óbito, podendo abranger:</w:t>
      </w:r>
      <w:r>
        <w:rPr>
          <w:rFonts w:ascii="Times New Roman" w:hAnsi="Times New Roman"/>
          <w:sz w:val="24"/>
          <w:szCs w:val="24"/>
        </w:rPr>
      </w:r>
    </w:p>
    <w:p w14:paraId="6948D630" w14:textId="77777777">
      <w:pPr>
        <w:pStyle w:val="1073"/>
        <w:pBdr/>
        <w:shd w:val="clear" w:color="auto" w:fill="ffffff" w:themeFill="background1"/>
        <w:spacing w:after="0" w:before="0" w:line="360" w:lineRule="auto"/>
        <w:ind/>
        <w:rPr>
          <w:rFonts w:ascii="Times New Roman" w:hAnsi="Times New Roman"/>
          <w:sz w:val="24"/>
          <w:szCs w:val="24"/>
        </w:rPr>
      </w:pPr>
      <w:r>
        <w:rPr>
          <w:rFonts w:ascii="Times New Roman" w:hAnsi="Times New Roman"/>
          <w:sz w:val="24"/>
          <w:szCs w:val="24"/>
        </w:rPr>
        <w:t xml:space="preserve">I – unidades hospitalares;</w:t>
      </w:r>
      <w:r>
        <w:rPr>
          <w:rFonts w:ascii="Times New Roman" w:hAnsi="Times New Roman"/>
          <w:sz w:val="24"/>
          <w:szCs w:val="24"/>
        </w:rPr>
      </w:r>
    </w:p>
    <w:p w14:paraId="2A4DE082" w14:textId="77777777">
      <w:pPr>
        <w:pStyle w:val="1073"/>
        <w:pBdr/>
        <w:shd w:val="clear" w:color="auto" w:fill="ffffff" w:themeFill="background1"/>
        <w:spacing w:after="0" w:before="0" w:line="360" w:lineRule="auto"/>
        <w:ind/>
        <w:rPr>
          <w:rFonts w:ascii="Times New Roman" w:hAnsi="Times New Roman"/>
          <w:sz w:val="24"/>
          <w:szCs w:val="24"/>
        </w:rPr>
      </w:pPr>
      <w:r>
        <w:rPr>
          <w:rFonts w:ascii="Times New Roman" w:hAnsi="Times New Roman"/>
          <w:sz w:val="24"/>
          <w:szCs w:val="24"/>
        </w:rPr>
        <w:t xml:space="preserve">II – residências;</w:t>
      </w:r>
      <w:r>
        <w:rPr>
          <w:rFonts w:ascii="Times New Roman" w:hAnsi="Times New Roman"/>
          <w:sz w:val="24"/>
          <w:szCs w:val="24"/>
        </w:rPr>
      </w:r>
    </w:p>
    <w:p w14:paraId="08AA9261" w14:textId="77777777">
      <w:pPr>
        <w:pStyle w:val="1073"/>
        <w:pBdr/>
        <w:shd w:val="clear" w:color="auto" w:fill="ffffff" w:themeFill="background1"/>
        <w:spacing w:after="0" w:before="0" w:line="360" w:lineRule="auto"/>
        <w:ind/>
        <w:rPr>
          <w:rFonts w:ascii="Times New Roman" w:hAnsi="Times New Roman"/>
          <w:sz w:val="24"/>
          <w:szCs w:val="24"/>
        </w:rPr>
      </w:pPr>
      <w:r>
        <w:rPr>
          <w:rFonts w:ascii="Times New Roman" w:hAnsi="Times New Roman"/>
          <w:sz w:val="24"/>
          <w:szCs w:val="24"/>
        </w:rPr>
        <w:t xml:space="preserve">III – Instituições de Longa Permanência;</w:t>
      </w:r>
      <w:r>
        <w:rPr>
          <w:rFonts w:ascii="Times New Roman" w:hAnsi="Times New Roman"/>
          <w:sz w:val="24"/>
          <w:szCs w:val="24"/>
        </w:rPr>
      </w:r>
    </w:p>
    <w:p w14:paraId="12BE3ABB" w14:textId="77777777">
      <w:pPr>
        <w:pStyle w:val="1073"/>
        <w:pBdr/>
        <w:shd w:val="clear" w:color="auto" w:fill="ffffff" w:themeFill="background1"/>
        <w:spacing w:after="0" w:before="0" w:line="360" w:lineRule="auto"/>
        <w:ind/>
        <w:rPr>
          <w:rFonts w:ascii="Times New Roman" w:hAnsi="Times New Roman"/>
          <w:sz w:val="24"/>
          <w:szCs w:val="24"/>
        </w:rPr>
      </w:pPr>
      <w:r>
        <w:rPr>
          <w:rFonts w:ascii="Times New Roman" w:hAnsi="Times New Roman"/>
          <w:sz w:val="24"/>
          <w:szCs w:val="24"/>
        </w:rPr>
        <w:t xml:space="preserve">IV – locais públicos;</w:t>
      </w:r>
      <w:r>
        <w:rPr>
          <w:rFonts w:ascii="Times New Roman" w:hAnsi="Times New Roman"/>
          <w:sz w:val="24"/>
          <w:szCs w:val="24"/>
        </w:rPr>
      </w:r>
    </w:p>
    <w:p w14:paraId="26DFC0D9" w14:textId="77777777">
      <w:pPr>
        <w:pStyle w:val="1073"/>
        <w:pBdr/>
        <w:shd w:val="clear" w:color="auto" w:fill="ffffff" w:themeFill="background1"/>
        <w:spacing w:after="0" w:before="0" w:line="360" w:lineRule="auto"/>
        <w:ind/>
        <w:rPr>
          <w:rFonts w:ascii="Times New Roman" w:hAnsi="Times New Roman"/>
          <w:sz w:val="24"/>
          <w:szCs w:val="24"/>
        </w:rPr>
      </w:pPr>
      <w:r>
        <w:rPr>
          <w:rFonts w:ascii="Times New Roman" w:hAnsi="Times New Roman"/>
          <w:sz w:val="24"/>
          <w:szCs w:val="24"/>
        </w:rPr>
        <w:t xml:space="preserve">V – demais locais em que se verifique a ocorrência do óbito.</w:t>
      </w:r>
      <w:r>
        <w:rPr>
          <w:rFonts w:ascii="Times New Roman" w:hAnsi="Times New Roman"/>
          <w:sz w:val="24"/>
          <w:szCs w:val="24"/>
        </w:rPr>
      </w:r>
    </w:p>
    <w:p w14:paraId="70F5FF0C" w14:textId="77777777">
      <w:pPr>
        <w:pStyle w:val="1073"/>
        <w:pBdr/>
        <w:shd w:val="clear" w:color="auto" w:fill="ffffff" w:themeFill="background1"/>
        <w:spacing w:after="0" w:before="0" w:line="360" w:lineRule="auto"/>
        <w:ind/>
        <w:rPr>
          <w:rFonts w:ascii="Times New Roman" w:hAnsi="Times New Roman"/>
          <w:sz w:val="24"/>
          <w:szCs w:val="24"/>
        </w:rPr>
      </w:pPr>
      <w:r>
        <w:rPr>
          <w:rFonts w:ascii="Times New Roman" w:hAnsi="Times New Roman"/>
          <w:sz w:val="24"/>
          <w:szCs w:val="24"/>
        </w:rPr>
        <w:t xml:space="preserve">5.5.2. Fica expressamente estabelecido que não se insere no objeto desta contratação o translado de pessoas que se encontravam em tratamento médico fora do município e que vieram a óbito, por se tratar de atribuição da Secretaria Municipal de Saúde.</w:t>
      </w:r>
      <w:r>
        <w:rPr>
          <w:rFonts w:ascii="Times New Roman" w:hAnsi="Times New Roman"/>
          <w:sz w:val="24"/>
          <w:szCs w:val="24"/>
        </w:rPr>
      </w:r>
    </w:p>
    <w:p w14:paraId="284674BC" w14:textId="77777777">
      <w:pPr>
        <w:pStyle w:val="1073"/>
        <w:pBdr/>
        <w:shd w:val="clear" w:color="auto" w:fill="ffffff" w:themeFill="background1"/>
        <w:spacing w:after="0" w:before="0" w:line="360" w:lineRule="auto"/>
        <w:ind/>
        <w:rPr>
          <w:rFonts w:ascii="Times New Roman" w:hAnsi="Times New Roman"/>
          <w:sz w:val="24"/>
          <w:szCs w:val="24"/>
        </w:rPr>
      </w:pPr>
      <w:r>
        <w:rPr>
          <w:rFonts w:ascii="Times New Roman" w:hAnsi="Times New Roman"/>
          <w:sz w:val="24"/>
          <w:szCs w:val="24"/>
        </w:rPr>
        <w:t xml:space="preserve">5.6. Fiscalização da Execução</w:t>
      </w:r>
      <w:r>
        <w:rPr>
          <w:rFonts w:ascii="Times New Roman" w:hAnsi="Times New Roman"/>
          <w:sz w:val="24"/>
          <w:szCs w:val="24"/>
        </w:rPr>
      </w:r>
    </w:p>
    <w:p w14:paraId="31F91010" w14:textId="77777777">
      <w:pPr>
        <w:pStyle w:val="1073"/>
        <w:pBdr/>
        <w:shd w:val="clear" w:color="auto" w:fill="ffffff" w:themeFill="background1"/>
        <w:spacing w:after="0" w:before="0" w:line="360" w:lineRule="auto"/>
        <w:ind/>
        <w:rPr>
          <w:rFonts w:ascii="Times New Roman" w:hAnsi="Times New Roman"/>
          <w:sz w:val="24"/>
          <w:szCs w:val="24"/>
        </w:rPr>
      </w:pPr>
      <w:r>
        <w:rPr>
          <w:rFonts w:ascii="Times New Roman" w:hAnsi="Times New Roman"/>
          <w:sz w:val="24"/>
          <w:szCs w:val="24"/>
        </w:rPr>
        <w:t xml:space="preserve">5.6.1. A execução dos serviços será acompanhada e fiscalizada por servidor formalmente designado pela Administração, nos termos do art. 117 da Lei nº 14.133/2021.</w:t>
      </w:r>
      <w:r>
        <w:rPr>
          <w:rFonts w:ascii="Times New Roman" w:hAnsi="Times New Roman"/>
          <w:sz w:val="24"/>
          <w:szCs w:val="24"/>
        </w:rPr>
      </w:r>
    </w:p>
    <w:p w14:paraId="3AE9FF65" w14:textId="77777777">
      <w:pPr>
        <w:pStyle w:val="1073"/>
        <w:pBdr/>
        <w:shd w:val="clear" w:color="auto" w:fill="ffffff" w:themeFill="background1"/>
        <w:spacing w:after="0" w:before="0" w:line="360" w:lineRule="auto"/>
        <w:ind/>
        <w:rPr>
          <w:rFonts w:ascii="Times New Roman" w:hAnsi="Times New Roman"/>
          <w:sz w:val="24"/>
          <w:szCs w:val="24"/>
        </w:rPr>
      </w:pPr>
      <w:r>
        <w:rPr>
          <w:rFonts w:ascii="Times New Roman" w:hAnsi="Times New Roman"/>
          <w:sz w:val="24"/>
          <w:szCs w:val="24"/>
        </w:rPr>
        <w:t xml:space="preserve">5.7. Conclusão da Execução</w:t>
      </w:r>
      <w:r>
        <w:rPr>
          <w:rFonts w:ascii="Times New Roman" w:hAnsi="Times New Roman"/>
          <w:sz w:val="24"/>
          <w:szCs w:val="24"/>
        </w:rPr>
      </w:r>
    </w:p>
    <w:p w14:paraId="3DF78767" w14:textId="77777777">
      <w:pPr>
        <w:pStyle w:val="1073"/>
        <w:pBdr/>
        <w:shd w:val="clear" w:color="auto" w:fill="ffffff" w:themeFill="background1"/>
        <w:spacing w:after="0" w:before="0" w:line="360" w:lineRule="auto"/>
        <w:ind/>
        <w:rPr>
          <w:rFonts w:ascii="Times New Roman" w:hAnsi="Times New Roman"/>
          <w:sz w:val="24"/>
          <w:szCs w:val="24"/>
        </w:rPr>
      </w:pPr>
      <w:r>
        <w:rPr>
          <w:rFonts w:ascii="Times New Roman" w:hAnsi="Times New Roman"/>
          <w:sz w:val="24"/>
          <w:szCs w:val="24"/>
        </w:rPr>
        <w:t xml:space="preserve">5.7.1. A execução dos serviços somente será considerada concluída para fins administrativos e financeiros após o recebimento provisório e definitivo, conforme Item 7 deste Termo de Referência, nos termos dos arts. 140 a 143 da Lei nº 14.133/2021.</w:t>
      </w:r>
      <w:r>
        <w:rPr>
          <w:rFonts w:ascii="Times New Roman" w:hAnsi="Times New Roman"/>
          <w:sz w:val="24"/>
          <w:szCs w:val="24"/>
        </w:rPr>
      </w:r>
    </w:p>
    <w:p w14:paraId="5C125FB8" w14:textId="77777777">
      <w:pPr>
        <w:pBdr>
          <w:top w:val="single" w:color="000000" w:sz="4" w:space="0"/>
          <w:left w:val="single" w:color="000000" w:sz="4" w:space="0"/>
          <w:bottom w:val="single" w:color="000000" w:sz="4" w:space="0"/>
          <w:right w:val="single" w:color="000000" w:sz="4" w:space="0"/>
        </w:pBdr>
        <w:shd w:val="clear" w:color="auto" w:fill="cccccc"/>
        <w:tabs>
          <w:tab w:val="left" w:leader="none" w:pos="567"/>
        </w:tabs>
        <w:spacing w:line="276" w:lineRule="auto"/>
        <w:ind/>
        <w:jc w:val="center"/>
        <w:rPr>
          <w:b/>
          <w:bCs/>
        </w:rPr>
      </w:pPr>
      <w:r>
        <w:rPr>
          <w:b/>
          <w:bCs/>
        </w:rPr>
        <w:t xml:space="preserve">6. GESTÃO DO CONTRATO  E FISCALIZAÇÃO</w:t>
      </w:r>
      <w:r>
        <w:rPr>
          <w:b/>
          <w:bCs/>
        </w:rPr>
      </w:r>
    </w:p>
    <w:p w14:paraId="47EF05DD" w14:textId="77777777">
      <w:pPr>
        <w:pBdr/>
        <w:spacing w:line="360" w:lineRule="auto"/>
        <w:ind/>
        <w:jc w:val="both"/>
        <w:rPr>
          <w:sz w:val="24"/>
          <w:szCs w:val="24"/>
        </w:rPr>
      </w:pPr>
      <w:r>
        <w:rPr>
          <w:sz w:val="24"/>
          <w:szCs w:val="24"/>
        </w:rPr>
        <w:t xml:space="preserve">6.1. O contrato deverá ser executado fielmente pelas partes, de acordo com as cláusulas avençadas e as normas da Lei 14.133/2021 e do Decreto Municipal nº 11.685/2023, e cada parte responderá pelas consequências de sua inexecução total ou parcial.</w:t>
      </w:r>
      <w:r>
        <w:rPr>
          <w:sz w:val="24"/>
          <w:szCs w:val="24"/>
        </w:rPr>
      </w:r>
    </w:p>
    <w:p w14:paraId="37C0B7F7" w14:textId="77777777">
      <w:pPr>
        <w:pBdr/>
        <w:spacing w:line="360" w:lineRule="auto"/>
        <w:ind/>
        <w:jc w:val="both"/>
        <w:rPr>
          <w:sz w:val="24"/>
          <w:szCs w:val="24"/>
        </w:rPr>
      </w:pPr>
      <w:r>
        <w:rPr>
          <w:sz w:val="24"/>
          <w:szCs w:val="24"/>
        </w:rPr>
        <w:t xml:space="preserve">6.2. Em caso de impedimento, ordem de paralisação ou suspensão do contrato, o cronograma de execução será prorrogado automaticamente pelo tempo correspondente, anotadas tais circunstâncias mediante simples apostila.</w:t>
      </w:r>
      <w:r>
        <w:rPr>
          <w:sz w:val="24"/>
          <w:szCs w:val="24"/>
        </w:rPr>
      </w:r>
    </w:p>
    <w:p w14:paraId="775E5FE9" w14:textId="77777777">
      <w:pPr>
        <w:pBdr/>
        <w:spacing w:line="360" w:lineRule="auto"/>
        <w:ind/>
        <w:jc w:val="both"/>
        <w:rPr>
          <w:sz w:val="24"/>
          <w:szCs w:val="24"/>
        </w:rPr>
      </w:pPr>
      <w:r>
        <w:rPr>
          <w:sz w:val="24"/>
          <w:szCs w:val="24"/>
        </w:rPr>
        <w:t xml:space="preserve">6.3. As comunicações entre o órgão ou entidade e o Contratado devem ser realizadas por escrito sempre que o ato exigir tal formalidade, admitindo-se o uso de mensagem eletrônica para esse fim.</w:t>
      </w:r>
      <w:r>
        <w:rPr>
          <w:sz w:val="24"/>
          <w:szCs w:val="24"/>
        </w:rPr>
      </w:r>
    </w:p>
    <w:p w14:paraId="7A925E09" w14:textId="77777777">
      <w:pPr>
        <w:pBdr/>
        <w:spacing w:line="360" w:lineRule="auto"/>
        <w:ind/>
        <w:jc w:val="both"/>
        <w:rPr>
          <w:sz w:val="24"/>
          <w:szCs w:val="24"/>
        </w:rPr>
      </w:pPr>
      <w:r>
        <w:rPr>
          <w:sz w:val="24"/>
          <w:szCs w:val="24"/>
        </w:rPr>
        <w:t xml:space="preserve">6.4. O órgão ou entidade poderá convocar representante da empresa para adoção de providências que devam ser cumpridas de imediato.</w:t>
      </w:r>
      <w:r>
        <w:rPr>
          <w:sz w:val="24"/>
          <w:szCs w:val="24"/>
        </w:rPr>
      </w:r>
    </w:p>
    <w:p w14:paraId="5C2E6ACA" w14:textId="77777777">
      <w:pPr>
        <w:pBdr/>
        <w:spacing w:line="360" w:lineRule="auto"/>
        <w:ind/>
        <w:jc w:val="both"/>
        <w:rPr>
          <w:sz w:val="24"/>
          <w:szCs w:val="24"/>
        </w:rPr>
      </w:pPr>
      <w:r>
        <w:rPr>
          <w:sz w:val="24"/>
          <w:szCs w:val="24"/>
        </w:rPr>
        <w:t xml:space="preserve">6.5. Após a assinatura do contrato ou instrumento equ</w:t>
      </w:r>
      <w:r>
        <w:rPr>
          <w:sz w:val="24"/>
          <w:szCs w:val="24"/>
        </w:rPr>
        <w:t xml:space="preserve">ivalente, o órgão ou entidade poderá convocar o representante da empresa contratada para reunião inicial para apresentação do plano de fiscalização, que conterá informações acerca das obrigações contratuais, dos mecanismos de fiscalização, das estratégias </w:t>
      </w:r>
      <w:r>
        <w:rPr>
          <w:sz w:val="24"/>
          <w:szCs w:val="24"/>
        </w:rPr>
        <w:t xml:space="preserve">para execução do objeto, do plano complementar de execução da contratada, quando houver, do método de aferição dos resultados e das sanções aplicáveis, dentre outros.</w:t>
      </w:r>
      <w:r>
        <w:rPr>
          <w:sz w:val="24"/>
          <w:szCs w:val="24"/>
        </w:rPr>
      </w:r>
    </w:p>
    <w:p w14:paraId="7BC3BA65" w14:textId="77777777">
      <w:pPr>
        <w:pBdr/>
        <w:spacing w:line="360" w:lineRule="auto"/>
        <w:ind/>
        <w:jc w:val="both"/>
        <w:rPr>
          <w:sz w:val="24"/>
          <w:szCs w:val="24"/>
        </w:rPr>
      </w:pPr>
      <w:r>
        <w:rPr>
          <w:sz w:val="24"/>
          <w:szCs w:val="24"/>
        </w:rPr>
        <w:t xml:space="preserve">6.6. A execução do contrato deverá ser acompanhada e fiscalizada pelo(s</w:t>
      </w:r>
      <w:r>
        <w:rPr>
          <w:sz w:val="24"/>
          <w:szCs w:val="24"/>
        </w:rPr>
        <w:t xml:space="preserve">) fiscal(is) do contrato, ou pelos respectivos substitutos, observado o disposto nos artigos 11 e 12 do Decreto Municipal nº 11.685/2023 e do artigo 117 da Lei 14.133/2021, consistindo a sua atuação, sem prejuízo de outras previstas em lei ou regulamento: </w:t>
      </w:r>
      <w:r>
        <w:rPr>
          <w:sz w:val="24"/>
          <w:szCs w:val="24"/>
        </w:rPr>
      </w:r>
    </w:p>
    <w:p w14:paraId="1ED2ADEE" w14:textId="77777777">
      <w:pPr>
        <w:pBdr/>
        <w:spacing w:line="360" w:lineRule="auto"/>
        <w:ind/>
        <w:jc w:val="both"/>
        <w:rPr>
          <w:sz w:val="24"/>
          <w:szCs w:val="24"/>
        </w:rPr>
      </w:pPr>
      <w:r>
        <w:rPr>
          <w:sz w:val="24"/>
          <w:szCs w:val="24"/>
        </w:rPr>
        <w:t xml:space="preserve">a) anotar, em registro, próprio todas as ocorrências relacionadas com a execução e determinará o que for necessário à regularização de falhas ou defeitos observados. </w:t>
      </w:r>
      <w:r>
        <w:rPr>
          <w:sz w:val="24"/>
          <w:szCs w:val="24"/>
        </w:rPr>
      </w:r>
    </w:p>
    <w:p w14:paraId="1367330B" w14:textId="77777777">
      <w:pPr>
        <w:pBdr/>
        <w:spacing w:line="360" w:lineRule="auto"/>
        <w:ind/>
        <w:jc w:val="both"/>
        <w:rPr>
          <w:sz w:val="24"/>
          <w:szCs w:val="24"/>
        </w:rPr>
      </w:pPr>
      <w:r>
        <w:rPr>
          <w:sz w:val="24"/>
          <w:szCs w:val="24"/>
        </w:rPr>
        <w:t xml:space="preserve">b) informar a seus superiores, em tempo hábil para a adoção das medidas convenientes, a situação que demandar decisão ou providência que ultrapasse sua competência.</w:t>
      </w:r>
      <w:r>
        <w:rPr>
          <w:sz w:val="24"/>
          <w:szCs w:val="24"/>
        </w:rPr>
      </w:r>
    </w:p>
    <w:p w14:paraId="791DED95" w14:textId="77777777">
      <w:pPr>
        <w:pBdr/>
        <w:spacing w:line="360" w:lineRule="auto"/>
        <w:ind/>
        <w:jc w:val="both"/>
        <w:rPr>
          <w:sz w:val="24"/>
          <w:szCs w:val="24"/>
        </w:rPr>
      </w:pPr>
      <w:r>
        <w:rPr>
          <w:sz w:val="24"/>
          <w:szCs w:val="24"/>
        </w:rPr>
        <w:t xml:space="preserve">c) solicitar, quando necessário, o auxílio dos órgãos de assessoramento jurídico e de controle interno da Administração, que deverão dirimir dúvidas e subsidiá-lo com informações relevantes para prevenir riscos na execução contratual.</w:t>
      </w:r>
      <w:r>
        <w:rPr>
          <w:sz w:val="24"/>
          <w:szCs w:val="24"/>
        </w:rPr>
      </w:r>
    </w:p>
    <w:p w14:paraId="0C305D00" w14:textId="77777777">
      <w:pPr>
        <w:pBdr/>
        <w:spacing w:line="360" w:lineRule="auto"/>
        <w:ind/>
        <w:jc w:val="both"/>
        <w:rPr>
          <w:sz w:val="24"/>
          <w:szCs w:val="24"/>
        </w:rPr>
      </w:pPr>
      <w:r>
        <w:rPr>
          <w:sz w:val="24"/>
          <w:szCs w:val="24"/>
        </w:rPr>
        <w:t xml:space="preserve">d) esclarecer prontamente as dúvidas administrativas e técnicas e divergências surgidas na execução do objeto contratado;</w:t>
      </w:r>
      <w:r>
        <w:rPr>
          <w:sz w:val="24"/>
          <w:szCs w:val="24"/>
        </w:rPr>
      </w:r>
    </w:p>
    <w:p w14:paraId="366C83D2" w14:textId="77777777">
      <w:pPr>
        <w:pBdr/>
        <w:spacing w:line="360" w:lineRule="auto"/>
        <w:ind/>
        <w:jc w:val="both"/>
        <w:rPr>
          <w:sz w:val="24"/>
          <w:szCs w:val="24"/>
        </w:rPr>
      </w:pPr>
      <w:r>
        <w:rPr>
          <w:sz w:val="24"/>
          <w:szCs w:val="24"/>
        </w:rPr>
        <w:t xml:space="preserve">e) expedir, através de notificações e/ou relatório de vistoria, as ocorrências e fazer as determinações e comunicações necessárias à perfeita execução dos serviços; </w:t>
      </w:r>
      <w:r>
        <w:rPr>
          <w:sz w:val="24"/>
          <w:szCs w:val="24"/>
        </w:rPr>
      </w:r>
    </w:p>
    <w:p w14:paraId="7C09D951" w14:textId="77777777">
      <w:pPr>
        <w:pBdr/>
        <w:spacing w:line="360" w:lineRule="auto"/>
        <w:ind/>
        <w:jc w:val="both"/>
        <w:rPr>
          <w:sz w:val="24"/>
          <w:szCs w:val="24"/>
        </w:rPr>
      </w:pPr>
      <w:r>
        <w:rPr>
          <w:sz w:val="24"/>
          <w:szCs w:val="24"/>
        </w:rPr>
        <w:t xml:space="preserve">f) proceder, conforme cronograma físico-financeiro, as medições dos serviços executados e aprovar a planilha de medição emitida pela contratada ou conforme disposto em contrato; </w:t>
      </w:r>
      <w:r>
        <w:rPr>
          <w:sz w:val="24"/>
          <w:szCs w:val="24"/>
        </w:rPr>
      </w:r>
    </w:p>
    <w:p w14:paraId="20E2E3F3" w14:textId="77777777">
      <w:pPr>
        <w:pBdr/>
        <w:spacing w:line="360" w:lineRule="auto"/>
        <w:ind/>
        <w:jc w:val="both"/>
        <w:rPr>
          <w:sz w:val="24"/>
          <w:szCs w:val="24"/>
        </w:rPr>
      </w:pPr>
      <w:r>
        <w:rPr>
          <w:sz w:val="24"/>
          <w:szCs w:val="24"/>
        </w:rPr>
        <w:t xml:space="preserve">g) adotar as medidas preventivas de controle dos contratos, inclusive manifestar-se a respeito da suspensão da entrega de bens, a realização de serviços ou a execução de obras; </w:t>
      </w:r>
      <w:r>
        <w:rPr>
          <w:sz w:val="24"/>
          <w:szCs w:val="24"/>
        </w:rPr>
      </w:r>
    </w:p>
    <w:p w14:paraId="3B4FADEE" w14:textId="77777777">
      <w:pPr>
        <w:pBdr/>
        <w:spacing w:line="360" w:lineRule="auto"/>
        <w:ind/>
        <w:jc w:val="both"/>
        <w:rPr>
          <w:sz w:val="24"/>
          <w:szCs w:val="24"/>
        </w:rPr>
      </w:pPr>
      <w:r>
        <w:rPr>
          <w:sz w:val="24"/>
          <w:szCs w:val="24"/>
        </w:rPr>
        <w:t xml:space="preserve">h)  conferir e certificar as faturas relativas às aquisições, serviços ou obras; </w:t>
      </w:r>
      <w:r>
        <w:rPr>
          <w:sz w:val="24"/>
          <w:szCs w:val="24"/>
        </w:rPr>
      </w:r>
    </w:p>
    <w:p w14:paraId="7AD05654" w14:textId="77777777">
      <w:pPr>
        <w:pBdr/>
        <w:spacing w:line="360" w:lineRule="auto"/>
        <w:ind/>
        <w:jc w:val="both"/>
        <w:rPr>
          <w:sz w:val="24"/>
          <w:szCs w:val="24"/>
        </w:rPr>
      </w:pPr>
      <w:r>
        <w:rPr>
          <w:sz w:val="24"/>
          <w:szCs w:val="24"/>
        </w:rPr>
        <w:t xml:space="preserve">i) proceder as avaliações dos serviços executados pela contratada;</w:t>
      </w:r>
      <w:r>
        <w:rPr>
          <w:sz w:val="24"/>
          <w:szCs w:val="24"/>
        </w:rPr>
      </w:r>
    </w:p>
    <w:p w14:paraId="258CD0AC" w14:textId="77777777">
      <w:pPr>
        <w:pBdr/>
        <w:spacing w:line="360" w:lineRule="auto"/>
        <w:ind/>
        <w:jc w:val="both"/>
        <w:rPr>
          <w:sz w:val="24"/>
          <w:szCs w:val="24"/>
        </w:rPr>
      </w:pPr>
      <w:r>
        <w:rPr>
          <w:sz w:val="24"/>
          <w:szCs w:val="24"/>
        </w:rPr>
        <w:t xml:space="preserve">j) determinar por todos os meios adequados a observância das normas técnicas e legais, especificações e métodos de execução dos serviços exigíveis para a perfeita execução do objeto; </w:t>
      </w:r>
      <w:r>
        <w:rPr>
          <w:sz w:val="24"/>
          <w:szCs w:val="24"/>
        </w:rPr>
      </w:r>
    </w:p>
    <w:p w14:paraId="262E2F93" w14:textId="77777777">
      <w:pPr>
        <w:pBdr/>
        <w:spacing w:line="360" w:lineRule="auto"/>
        <w:ind/>
        <w:jc w:val="both"/>
        <w:rPr>
          <w:sz w:val="24"/>
          <w:szCs w:val="24"/>
        </w:rPr>
      </w:pPr>
      <w:r>
        <w:rPr>
          <w:sz w:val="24"/>
          <w:szCs w:val="24"/>
        </w:rPr>
        <w:t xml:space="preserve">k) exigir o uso correto dos equipamentos de proteção individual e coletiva de segurança do trabalho; </w:t>
      </w:r>
      <w:r>
        <w:rPr>
          <w:sz w:val="24"/>
          <w:szCs w:val="24"/>
        </w:rPr>
      </w:r>
    </w:p>
    <w:p w14:paraId="54E3F31E" w14:textId="77777777">
      <w:pPr>
        <w:pBdr/>
        <w:spacing w:line="360" w:lineRule="auto"/>
        <w:ind/>
        <w:jc w:val="both"/>
        <w:rPr>
          <w:sz w:val="24"/>
          <w:szCs w:val="24"/>
        </w:rPr>
      </w:pPr>
      <w:r>
        <w:rPr>
          <w:sz w:val="24"/>
          <w:szCs w:val="24"/>
        </w:rPr>
        <w:t xml:space="preserve">l) determinar a retirada de qualquer empregado subordinado direta ou indiretamente à contratada, inclusive empregados de eventuais subcontratadas, ou as próprias subcontratadas, que, a seu critério, comprometam o bom andamento dos serviços;</w:t>
      </w:r>
      <w:r>
        <w:rPr>
          <w:sz w:val="24"/>
          <w:szCs w:val="24"/>
        </w:rPr>
      </w:r>
    </w:p>
    <w:p w14:paraId="47F2A223" w14:textId="77777777">
      <w:pPr>
        <w:pBdr/>
        <w:spacing w:line="360" w:lineRule="auto"/>
        <w:ind/>
        <w:jc w:val="both"/>
        <w:rPr>
          <w:sz w:val="24"/>
          <w:szCs w:val="24"/>
        </w:rPr>
      </w:pPr>
      <w:r>
        <w:rPr>
          <w:sz w:val="24"/>
          <w:szCs w:val="24"/>
        </w:rPr>
        <w:t xml:space="preserve">m) receber designação e manter contato com o preposto da contratada, e se for necessário, promover reuniões periódicas ou especiais para a resolução de problemas na entrega dos bens ou na execução dos serviços ou das obras;</w:t>
      </w:r>
      <w:r>
        <w:rPr>
          <w:sz w:val="24"/>
          <w:szCs w:val="24"/>
        </w:rPr>
      </w:r>
    </w:p>
    <w:p w14:paraId="4242E332" w14:textId="77777777">
      <w:pPr>
        <w:pBdr/>
        <w:spacing w:line="360" w:lineRule="auto"/>
        <w:ind/>
        <w:jc w:val="both"/>
        <w:rPr>
          <w:sz w:val="24"/>
          <w:szCs w:val="24"/>
        </w:rPr>
      </w:pPr>
      <w:r>
        <w:rPr>
          <w:sz w:val="24"/>
          <w:szCs w:val="24"/>
        </w:rPr>
        <w:t xml:space="preserve">n) dar parecer técnico nos pedidos de alterações contratuais; </w:t>
      </w:r>
      <w:r>
        <w:rPr>
          <w:sz w:val="24"/>
          <w:szCs w:val="24"/>
        </w:rPr>
      </w:r>
    </w:p>
    <w:p w14:paraId="1B12BDC6" w14:textId="77777777">
      <w:pPr>
        <w:pBdr/>
        <w:spacing w:line="360" w:lineRule="auto"/>
        <w:ind/>
        <w:jc w:val="both"/>
        <w:rPr>
          <w:sz w:val="24"/>
          <w:szCs w:val="24"/>
        </w:rPr>
      </w:pPr>
      <w:r>
        <w:rPr>
          <w:sz w:val="24"/>
          <w:szCs w:val="24"/>
        </w:rPr>
        <w:t xml:space="preserve">o)  verificar a correta aplicação dos materiais; </w:t>
      </w:r>
      <w:r>
        <w:rPr>
          <w:sz w:val="24"/>
          <w:szCs w:val="24"/>
        </w:rPr>
      </w:r>
    </w:p>
    <w:p w14:paraId="390708C8" w14:textId="77777777">
      <w:pPr>
        <w:pBdr/>
        <w:spacing w:line="360" w:lineRule="auto"/>
        <w:ind/>
        <w:jc w:val="both"/>
        <w:rPr>
          <w:sz w:val="24"/>
          <w:szCs w:val="24"/>
        </w:rPr>
      </w:pPr>
      <w:r>
        <w:rPr>
          <w:sz w:val="24"/>
          <w:szCs w:val="24"/>
        </w:rPr>
        <w:t xml:space="preserve">p) requerer das empresas testes, exames e ensaios quando necessários, no sentido de promoção de controle de qualidade da execução das obras e serviços ou dos bens a serem adquiridos; </w:t>
      </w:r>
      <w:r>
        <w:rPr>
          <w:sz w:val="24"/>
          <w:szCs w:val="24"/>
        </w:rPr>
      </w:r>
    </w:p>
    <w:p w14:paraId="5DE8AECE" w14:textId="77777777">
      <w:pPr>
        <w:pBdr/>
        <w:spacing w:line="360" w:lineRule="auto"/>
        <w:ind/>
        <w:jc w:val="both"/>
        <w:rPr>
          <w:sz w:val="24"/>
          <w:szCs w:val="24"/>
        </w:rPr>
      </w:pPr>
      <w:r>
        <w:rPr>
          <w:sz w:val="24"/>
          <w:szCs w:val="24"/>
        </w:rPr>
        <w:t xml:space="preserve">q)  realizar, na forma do art. 140 da Lei Federal n.º 14.133, de 2021, o recebimento do objeto contratado, quando for o caso; </w:t>
      </w:r>
      <w:r>
        <w:rPr>
          <w:sz w:val="24"/>
          <w:szCs w:val="24"/>
        </w:rPr>
      </w:r>
    </w:p>
    <w:p w14:paraId="4286FFFC" w14:textId="77777777">
      <w:pPr>
        <w:pBdr/>
        <w:spacing w:line="360" w:lineRule="auto"/>
        <w:ind/>
        <w:jc w:val="both"/>
        <w:rPr>
          <w:sz w:val="24"/>
          <w:szCs w:val="24"/>
        </w:rPr>
      </w:pPr>
      <w:r>
        <w:rPr>
          <w:sz w:val="24"/>
          <w:szCs w:val="24"/>
        </w:rPr>
        <w:t xml:space="preserve">r)  propor à autoridade competente a abertura de procedimento administrativo para apuração de responsabilidade; </w:t>
      </w:r>
      <w:r>
        <w:rPr>
          <w:sz w:val="24"/>
          <w:szCs w:val="24"/>
        </w:rPr>
      </w:r>
    </w:p>
    <w:p w14:paraId="501736A5" w14:textId="77777777">
      <w:pPr>
        <w:pBdr/>
        <w:spacing w:line="360" w:lineRule="auto"/>
        <w:ind/>
        <w:jc w:val="both"/>
        <w:rPr>
          <w:sz w:val="24"/>
          <w:szCs w:val="24"/>
        </w:rPr>
      </w:pPr>
      <w:r>
        <w:rPr>
          <w:sz w:val="24"/>
          <w:szCs w:val="24"/>
        </w:rPr>
        <w:t xml:space="preserve">s)  outras atividades compatíveis com a função. </w:t>
      </w:r>
      <w:r>
        <w:rPr>
          <w:sz w:val="24"/>
          <w:szCs w:val="24"/>
        </w:rPr>
      </w:r>
    </w:p>
    <w:p w14:paraId="25983873" w14:textId="77777777">
      <w:pPr>
        <w:pBdr/>
        <w:spacing w:line="360" w:lineRule="auto"/>
        <w:ind/>
        <w:jc w:val="both"/>
        <w:rPr>
          <w:sz w:val="24"/>
          <w:szCs w:val="24"/>
        </w:rPr>
      </w:pPr>
      <w:r>
        <w:rPr>
          <w:sz w:val="24"/>
          <w:szCs w:val="24"/>
        </w:rPr>
        <w:t xml:space="preserve">6.7. Além do disposto acima, a fiscalização contratual obedecerá às seguintes rotinas:</w:t>
      </w:r>
      <w:r>
        <w:rPr>
          <w:sz w:val="24"/>
          <w:szCs w:val="24"/>
        </w:rPr>
      </w:r>
    </w:p>
    <w:p w14:paraId="5BBA6BD1" w14:textId="77777777">
      <w:pPr>
        <w:pBdr/>
        <w:spacing w:line="360" w:lineRule="auto"/>
        <w:ind/>
        <w:jc w:val="both"/>
        <w:rPr>
          <w:sz w:val="24"/>
          <w:szCs w:val="24"/>
        </w:rPr>
      </w:pPr>
      <w:r>
        <w:rPr>
          <w:sz w:val="24"/>
          <w:szCs w:val="24"/>
        </w:rPr>
        <w:t xml:space="preserve">6.8  A execução do contrato contará com a atuação de Gestor do Contrato, formalmente designado pela Administração, nos termos do art. 117 da Lei Federal nº 14.133/2</w:t>
      </w:r>
      <w:r>
        <w:rPr>
          <w:sz w:val="24"/>
          <w:szCs w:val="24"/>
        </w:rPr>
        <w:t xml:space="preserve">021 e dos arts. 10 e 198 do Decreto Municipal nº 11.685/2023, ao qual competirá coordenar, acompanhar e supervisionar a execução contratual, sem prejuízo das atribuições da autoridade competente e dos fiscais do contrato, observada a segregação de funções.</w:t>
      </w:r>
      <w:r>
        <w:rPr>
          <w:sz w:val="24"/>
          <w:szCs w:val="24"/>
        </w:rPr>
      </w:r>
    </w:p>
    <w:p w14:paraId="19C71B2D" w14:textId="77777777">
      <w:pPr>
        <w:pBdr/>
        <w:spacing w:line="360" w:lineRule="auto"/>
        <w:ind/>
        <w:jc w:val="both"/>
        <w:rPr>
          <w:sz w:val="24"/>
          <w:szCs w:val="24"/>
        </w:rPr>
      </w:pPr>
      <w:r>
        <w:rPr>
          <w:sz w:val="24"/>
          <w:szCs w:val="24"/>
        </w:rPr>
        <w:t xml:space="preserve">a) determi</w:t>
      </w:r>
      <w:r>
        <w:rPr>
          <w:sz w:val="24"/>
          <w:szCs w:val="24"/>
        </w:rPr>
        <w:t xml:space="preserve">nar a elaboração de termo de referência, estudo técnico preliminar, solicitação de aditivos ou apostilamentos, validar os documentos elaborados e garantir que as contratações estejam previstas no plano de contratações anual e no planejamento orçamentário; </w:t>
      </w:r>
      <w:r>
        <w:rPr>
          <w:sz w:val="24"/>
          <w:szCs w:val="24"/>
        </w:rPr>
      </w:r>
    </w:p>
    <w:p w14:paraId="066A568E" w14:textId="77777777">
      <w:pPr>
        <w:pBdr/>
        <w:spacing w:line="360" w:lineRule="auto"/>
        <w:ind/>
        <w:jc w:val="both"/>
        <w:rPr>
          <w:sz w:val="24"/>
          <w:szCs w:val="24"/>
        </w:rPr>
      </w:pPr>
      <w:r>
        <w:rPr>
          <w:sz w:val="24"/>
          <w:szCs w:val="24"/>
        </w:rPr>
        <w:t xml:space="preserve">b) emitir, com a ciência dos fiscais de contrato, ordens de fornecimento ou ordens de execução de serviço, ordens de paralisação e reinício, bem como decidir sobre pedidos de prorrogação da execução contratual; </w:t>
      </w:r>
      <w:r>
        <w:rPr>
          <w:sz w:val="24"/>
          <w:szCs w:val="24"/>
        </w:rPr>
      </w:r>
    </w:p>
    <w:p w14:paraId="38874AD2" w14:textId="77777777">
      <w:pPr>
        <w:pBdr/>
        <w:spacing w:line="360" w:lineRule="auto"/>
        <w:ind/>
        <w:jc w:val="both"/>
        <w:rPr>
          <w:sz w:val="24"/>
          <w:szCs w:val="24"/>
        </w:rPr>
      </w:pPr>
      <w:r>
        <w:rPr>
          <w:sz w:val="24"/>
          <w:szCs w:val="24"/>
        </w:rPr>
        <w:t xml:space="preserve">c) indicar os fiscais de contrato e seus substitutos;</w:t>
      </w:r>
      <w:r>
        <w:rPr>
          <w:sz w:val="24"/>
          <w:szCs w:val="24"/>
        </w:rPr>
      </w:r>
    </w:p>
    <w:p w14:paraId="394E2DD6" w14:textId="77777777">
      <w:pPr>
        <w:pBdr/>
        <w:spacing w:line="360" w:lineRule="auto"/>
        <w:ind/>
        <w:jc w:val="both"/>
        <w:rPr>
          <w:sz w:val="24"/>
          <w:szCs w:val="24"/>
        </w:rPr>
      </w:pPr>
      <w:r>
        <w:rPr>
          <w:sz w:val="24"/>
          <w:szCs w:val="24"/>
        </w:rPr>
        <w:t xml:space="preserve">d) dirimir dúvidas dos fiscais de contrato sobre a correta execução contratual e sua fiscalização;</w:t>
      </w:r>
      <w:r>
        <w:rPr>
          <w:sz w:val="24"/>
          <w:szCs w:val="24"/>
        </w:rPr>
      </w:r>
    </w:p>
    <w:p w14:paraId="07413287" w14:textId="77777777">
      <w:pPr>
        <w:pBdr/>
        <w:spacing w:line="360" w:lineRule="auto"/>
        <w:ind/>
        <w:jc w:val="both"/>
        <w:rPr>
          <w:sz w:val="21"/>
          <w:szCs w:val="21"/>
        </w:rPr>
      </w:pPr>
      <w:r>
        <w:rPr>
          <w:sz w:val="24"/>
          <w:szCs w:val="24"/>
        </w:rPr>
        <w:t xml:space="preserve">e) quando necessário, convocar e coordenar reuniões, registradas em ata, com a participação da contratada e dos fiscais, a fim de serem alinhados os procedimentos de acompanhamento da execução contratual, da </w:t>
      </w:r>
      <w:r>
        <w:rPr>
          <w:sz w:val="21"/>
          <w:szCs w:val="21"/>
        </w:rPr>
        <w:t xml:space="preserve">forma de apresentação dos documentos exigíveis para realização de pagamentos e conclusão da execução contratual; </w:t>
      </w:r>
      <w:r>
        <w:rPr>
          <w:sz w:val="21"/>
          <w:szCs w:val="21"/>
        </w:rPr>
      </w:r>
    </w:p>
    <w:p w14:paraId="6B3C18F7" w14:textId="77777777">
      <w:pPr>
        <w:pBdr/>
        <w:spacing w:line="360" w:lineRule="auto"/>
        <w:ind/>
        <w:jc w:val="both"/>
        <w:rPr>
          <w:sz w:val="21"/>
          <w:szCs w:val="21"/>
        </w:rPr>
      </w:pPr>
      <w:r>
        <w:rPr>
          <w:sz w:val="21"/>
          <w:szCs w:val="21"/>
        </w:rPr>
        <w:t xml:space="preserve">f) acompanhar a execução do cronograma físico-financeiro e analisar os relatórios de fiscalização de </w:t>
      </w:r>
      <w:r>
        <w:rPr>
          <w:sz w:val="21"/>
          <w:szCs w:val="21"/>
        </w:rPr>
        <w:t xml:space="preserve">contratos, especialmente os relacionados ao cumprimento do cronograma de entrega e recebimento de bens e serviços, bem como os relacionados à execução do cronograma físico-financeiro das obras e reformas, a fim de garantir a perfeita execução do contrato; </w:t>
      </w:r>
      <w:r>
        <w:rPr>
          <w:sz w:val="21"/>
          <w:szCs w:val="21"/>
        </w:rPr>
      </w:r>
    </w:p>
    <w:p w14:paraId="7B96B735" w14:textId="77777777">
      <w:pPr>
        <w:pBdr/>
        <w:spacing w:line="360" w:lineRule="auto"/>
        <w:ind/>
        <w:jc w:val="both"/>
        <w:rPr>
          <w:sz w:val="21"/>
          <w:szCs w:val="21"/>
        </w:rPr>
      </w:pPr>
      <w:r>
        <w:rPr>
          <w:sz w:val="21"/>
          <w:szCs w:val="21"/>
        </w:rPr>
        <w:t xml:space="preserve">g) observar os prazos de vigência e execução dos contratos e tomar as medidas necessárias para que sejam executados conforme o contratado, de acordo com as necessidades da administração e planejamento orçamentário e financeiro; </w:t>
      </w:r>
      <w:r>
        <w:rPr>
          <w:sz w:val="21"/>
          <w:szCs w:val="21"/>
        </w:rPr>
      </w:r>
    </w:p>
    <w:p w14:paraId="5FFF79A4" w14:textId="77777777">
      <w:pPr>
        <w:pBdr/>
        <w:spacing w:line="360" w:lineRule="auto"/>
        <w:ind/>
        <w:jc w:val="both"/>
        <w:rPr>
          <w:sz w:val="21"/>
          <w:szCs w:val="21"/>
        </w:rPr>
      </w:pPr>
      <w:r>
        <w:rPr>
          <w:sz w:val="21"/>
          <w:szCs w:val="21"/>
        </w:rPr>
        <w:t xml:space="preserve">h) decidir sobre a </w:t>
      </w:r>
      <w:r>
        <w:rPr>
          <w:sz w:val="21"/>
          <w:szCs w:val="21"/>
        </w:rPr>
        <w:t xml:space="preserve">renovação, prorrogação ou alteração dos contratos, ou sobre a realização de novo procedimento licitatório ou de contratação direta, bem como sobre a suspensão da entrega de bens ou da realização de serviços, de acordo com as necessidades da administração; </w:t>
      </w:r>
      <w:r>
        <w:rPr>
          <w:sz w:val="21"/>
          <w:szCs w:val="21"/>
        </w:rPr>
      </w:r>
    </w:p>
    <w:p w14:paraId="66EA7F7D" w14:textId="77777777">
      <w:pPr>
        <w:pBdr/>
        <w:spacing w:line="360" w:lineRule="auto"/>
        <w:ind/>
        <w:jc w:val="both"/>
        <w:rPr>
          <w:sz w:val="21"/>
          <w:szCs w:val="21"/>
        </w:rPr>
      </w:pPr>
      <w:r>
        <w:rPr>
          <w:sz w:val="21"/>
          <w:szCs w:val="21"/>
        </w:rPr>
        <w:t xml:space="preserve">i) quando necessário, negociar com a contratada as condições contratuais;</w:t>
      </w:r>
      <w:r>
        <w:rPr>
          <w:sz w:val="21"/>
          <w:szCs w:val="21"/>
        </w:rPr>
      </w:r>
    </w:p>
    <w:p w14:paraId="4D29C25D" w14:textId="77777777">
      <w:pPr>
        <w:pBdr/>
        <w:spacing w:line="360" w:lineRule="auto"/>
        <w:ind/>
        <w:jc w:val="both"/>
        <w:rPr>
          <w:sz w:val="21"/>
          <w:szCs w:val="21"/>
        </w:rPr>
      </w:pPr>
      <w:r>
        <w:rPr>
          <w:sz w:val="21"/>
          <w:szCs w:val="21"/>
        </w:rPr>
        <w:t xml:space="preserve">j) encaminhar os processos de pagamento, após o atesto da nota fiscal pelo fiscal do contrato; </w:t>
      </w:r>
      <w:r>
        <w:rPr>
          <w:sz w:val="21"/>
          <w:szCs w:val="21"/>
        </w:rPr>
      </w:r>
    </w:p>
    <w:p w14:paraId="56124F76" w14:textId="77777777">
      <w:pPr>
        <w:pBdr/>
        <w:spacing w:line="360" w:lineRule="auto"/>
        <w:ind/>
        <w:jc w:val="both"/>
        <w:rPr>
          <w:sz w:val="21"/>
          <w:szCs w:val="21"/>
        </w:rPr>
      </w:pPr>
      <w:r>
        <w:rPr>
          <w:sz w:val="21"/>
          <w:szCs w:val="21"/>
        </w:rPr>
        <w:t xml:space="preserve">k) tomar providências para apurar o descumprimento do contrato ou fraude na sua execução; </w:t>
      </w:r>
      <w:r>
        <w:rPr>
          <w:sz w:val="21"/>
          <w:szCs w:val="21"/>
        </w:rPr>
      </w:r>
    </w:p>
    <w:p w14:paraId="177F4E5E" w14:textId="77777777">
      <w:pPr>
        <w:pBdr/>
        <w:spacing w:line="360" w:lineRule="auto"/>
        <w:ind/>
        <w:jc w:val="both"/>
        <w:rPr>
          <w:sz w:val="21"/>
          <w:szCs w:val="21"/>
        </w:rPr>
      </w:pPr>
      <w:r>
        <w:rPr>
          <w:sz w:val="21"/>
          <w:szCs w:val="21"/>
        </w:rPr>
        <w:t xml:space="preserve">l) exigir dos fiscais a inclusão tempestiva das informações relativas à execução do contrato nos sistemas corporativos de controle, publicidade e transparência, inclusive no PNCP;</w:t>
      </w:r>
      <w:r>
        <w:rPr>
          <w:sz w:val="21"/>
          <w:szCs w:val="21"/>
        </w:rPr>
      </w:r>
    </w:p>
    <w:p w14:paraId="09EE203A" w14:textId="77777777">
      <w:pPr>
        <w:pBdr/>
        <w:spacing w:line="360" w:lineRule="auto"/>
        <w:ind/>
        <w:jc w:val="both"/>
        <w:rPr>
          <w:sz w:val="21"/>
          <w:szCs w:val="21"/>
        </w:rPr>
      </w:pPr>
      <w:r>
        <w:rPr>
          <w:sz w:val="21"/>
          <w:szCs w:val="21"/>
        </w:rPr>
        <w:t xml:space="preserve">m) coordenar as atividades relacionadas à fiscalização técnica e administrativa do contrato; </w:t>
      </w:r>
      <w:r>
        <w:rPr>
          <w:sz w:val="21"/>
          <w:szCs w:val="21"/>
        </w:rPr>
      </w:r>
    </w:p>
    <w:p w14:paraId="0F570DC4" w14:textId="77777777">
      <w:pPr>
        <w:pBdr/>
        <w:spacing w:line="360" w:lineRule="auto"/>
        <w:ind/>
        <w:jc w:val="both"/>
        <w:rPr>
          <w:sz w:val="21"/>
          <w:szCs w:val="21"/>
        </w:rPr>
      </w:pPr>
      <w:r>
        <w:rPr>
          <w:sz w:val="21"/>
          <w:szCs w:val="21"/>
        </w:rPr>
        <w:t xml:space="preserve">n) emitir decisão sobre as solicitações e reclamações relacionadas à execução dos contratos; </w:t>
      </w:r>
      <w:r>
        <w:rPr>
          <w:sz w:val="21"/>
          <w:szCs w:val="21"/>
        </w:rPr>
      </w:r>
    </w:p>
    <w:p w14:paraId="19B7D0A0" w14:textId="77777777">
      <w:pPr>
        <w:pBdr/>
        <w:spacing w:line="360" w:lineRule="auto"/>
        <w:ind/>
        <w:jc w:val="both"/>
        <w:rPr>
          <w:sz w:val="21"/>
          <w:szCs w:val="21"/>
        </w:rPr>
      </w:pPr>
      <w:r>
        <w:rPr>
          <w:sz w:val="21"/>
          <w:szCs w:val="21"/>
        </w:rPr>
        <w:t xml:space="preserve">o) acompanhar os registro</w:t>
      </w:r>
      <w:r>
        <w:rPr>
          <w:sz w:val="21"/>
          <w:szCs w:val="21"/>
        </w:rPr>
        <w:t xml:space="preserve">s realizados pelos fiscais do contrato ou dos terceiros contratados a respeito de todas as ocorrências relacionadas à execução do contrato e as medidas adotadas, informando, se for o caso, à autoridade superior àquelas que ultrapassarem a sua competência; </w:t>
      </w:r>
      <w:r>
        <w:rPr>
          <w:sz w:val="21"/>
          <w:szCs w:val="21"/>
        </w:rPr>
      </w:r>
    </w:p>
    <w:p w14:paraId="3BCB5B59" w14:textId="77777777">
      <w:pPr>
        <w:pBdr/>
        <w:spacing w:line="360" w:lineRule="auto"/>
        <w:ind/>
        <w:jc w:val="both"/>
        <w:rPr>
          <w:sz w:val="21"/>
          <w:szCs w:val="21"/>
        </w:rPr>
      </w:pPr>
      <w:r>
        <w:rPr>
          <w:sz w:val="21"/>
          <w:szCs w:val="21"/>
        </w:rPr>
        <w:t xml:space="preserve">p) c</w:t>
      </w:r>
      <w:r>
        <w:rPr>
          <w:sz w:val="21"/>
          <w:szCs w:val="21"/>
        </w:rPr>
        <w:t xml:space="preserve">onstituir relatório final, de que trata a alínea “d” do inciso VI do § 3º do art. 174 da Lei Federal nº 14.133, de 1º de abril de 2021, com as informações obtidas durante a execução do contrato, como forma de aprimoramento das atividades da Administração. </w:t>
      </w:r>
      <w:r>
        <w:rPr>
          <w:sz w:val="21"/>
          <w:szCs w:val="21"/>
        </w:rPr>
      </w:r>
    </w:p>
    <w:p w14:paraId="037C3B47" w14:textId="77777777">
      <w:pPr>
        <w:pBdr/>
        <w:spacing w:line="360" w:lineRule="auto"/>
        <w:ind/>
        <w:jc w:val="both"/>
        <w:rPr>
          <w:sz w:val="21"/>
          <w:szCs w:val="21"/>
        </w:rPr>
      </w:pPr>
      <w:r>
        <w:rPr>
          <w:sz w:val="21"/>
          <w:szCs w:val="21"/>
        </w:rPr>
        <w:t xml:space="preserve">q) outras atividades compatíveis com a função, determinadas pela autoridade competente. </w:t>
      </w:r>
      <w:r>
        <w:rPr>
          <w:sz w:val="21"/>
          <w:szCs w:val="21"/>
        </w:rPr>
      </w:r>
    </w:p>
    <w:p w14:paraId="4FFAD361" w14:textId="77777777">
      <w:pPr>
        <w:pBdr/>
        <w:spacing w:line="360" w:lineRule="auto"/>
        <w:ind/>
        <w:jc w:val="both"/>
        <w:rPr>
          <w:sz w:val="21"/>
          <w:szCs w:val="21"/>
        </w:rPr>
      </w:pPr>
      <w:r>
        <w:rPr>
          <w:sz w:val="21"/>
          <w:szCs w:val="21"/>
        </w:rPr>
        <w:t xml:space="preserve">r)as ausências e impedimentos dos fiscais titulares e substitutos, o gestor do contrato deverá designar fiscal provisório, preferencialmente entre servidores que preencham os requisitos técnicos profissionais aplicáveis. </w:t>
      </w:r>
      <w:r>
        <w:rPr>
          <w:sz w:val="21"/>
          <w:szCs w:val="21"/>
        </w:rPr>
      </w:r>
    </w:p>
    <w:p w14:paraId="648C201B" w14:textId="77777777">
      <w:pPr>
        <w:pBdr/>
        <w:spacing w:line="360" w:lineRule="auto"/>
        <w:ind/>
        <w:jc w:val="both"/>
        <w:rPr>
          <w:sz w:val="21"/>
          <w:szCs w:val="21"/>
        </w:rPr>
      </w:pPr>
      <w:r>
        <w:rPr>
          <w:sz w:val="21"/>
          <w:szCs w:val="21"/>
        </w:rPr>
        <w:t xml:space="preserve">s) Na fo</w:t>
      </w:r>
      <w:r>
        <w:rPr>
          <w:sz w:val="21"/>
          <w:szCs w:val="21"/>
        </w:rPr>
        <w:t xml:space="preserve">rma do disposto no artigo 107 da Lei Federal n.º 14.133, de 2021, o gestor do contrato poderá negociar condições mais vantajosas com a contratada no procedimento que antecede a prorrogação ou a extinção dos contratos de serviços e fornecimentos contínuos. </w:t>
      </w:r>
      <w:r>
        <w:rPr>
          <w:sz w:val="21"/>
          <w:szCs w:val="21"/>
        </w:rPr>
      </w:r>
    </w:p>
    <w:p w14:paraId="6EB88CEA" w14:textId="77777777">
      <w:pPr>
        <w:pBdr/>
        <w:spacing w:line="360" w:lineRule="auto"/>
        <w:ind/>
        <w:jc w:val="both"/>
        <w:rPr>
          <w:sz w:val="21"/>
          <w:szCs w:val="21"/>
        </w:rPr>
      </w:pPr>
      <w:r>
        <w:rPr>
          <w:sz w:val="21"/>
          <w:szCs w:val="21"/>
        </w:rPr>
        <w:t xml:space="preserve">6.9. Das Obrigações da Contratante:</w:t>
      </w:r>
      <w:r>
        <w:rPr>
          <w:sz w:val="21"/>
          <w:szCs w:val="21"/>
        </w:rPr>
      </w:r>
    </w:p>
    <w:p w14:paraId="3902D66F" w14:textId="77777777">
      <w:pPr>
        <w:pBdr/>
        <w:spacing w:line="360" w:lineRule="auto"/>
        <w:ind/>
        <w:jc w:val="both"/>
        <w:rPr>
          <w:sz w:val="21"/>
          <w:szCs w:val="21"/>
        </w:rPr>
      </w:pPr>
      <w:r>
        <w:rPr>
          <w:sz w:val="21"/>
          <w:szCs w:val="21"/>
        </w:rPr>
        <w:t xml:space="preserve">6.9.1. Notificar a licitante vencedora a assinar o contrato, ou outro documento equivalente, no prazo de até 05 (cinco) dias úteis e comunicar demais informações que achar pertinentes para o bom cumprimento do objeto;</w:t>
      </w:r>
      <w:r>
        <w:rPr>
          <w:sz w:val="21"/>
          <w:szCs w:val="21"/>
        </w:rPr>
      </w:r>
    </w:p>
    <w:p w14:paraId="3CE929AE" w14:textId="77777777">
      <w:pPr>
        <w:pBdr/>
        <w:spacing w:line="360" w:lineRule="auto"/>
        <w:ind/>
        <w:jc w:val="both"/>
        <w:rPr>
          <w:sz w:val="21"/>
          <w:szCs w:val="21"/>
        </w:rPr>
      </w:pPr>
      <w:r>
        <w:rPr>
          <w:sz w:val="21"/>
          <w:szCs w:val="21"/>
        </w:rPr>
        <w:t xml:space="preserve">6.9.2.Proporcionar todas as facilidades indispensáveis à boa execução das obrigações contratuais, inclusive permitindo o acesso de empregados, prepostos ou representantes da contratada em suas dependências, quando for o caso.</w:t>
      </w:r>
      <w:r>
        <w:rPr>
          <w:sz w:val="21"/>
          <w:szCs w:val="21"/>
        </w:rPr>
      </w:r>
    </w:p>
    <w:p w14:paraId="57F0CB61" w14:textId="77777777">
      <w:pPr>
        <w:pBdr/>
        <w:spacing w:line="360" w:lineRule="auto"/>
        <w:ind/>
        <w:jc w:val="both"/>
        <w:rPr>
          <w:sz w:val="21"/>
          <w:szCs w:val="21"/>
        </w:rPr>
      </w:pPr>
      <w:r>
        <w:rPr>
          <w:sz w:val="21"/>
          <w:szCs w:val="21"/>
        </w:rPr>
        <w:t xml:space="preserve">6.9.3. Rejeitar, no todo ou em parte, os itens entregues em desacordo com as obrigações assumidas pelo fornecedor.</w:t>
      </w:r>
      <w:r>
        <w:rPr>
          <w:sz w:val="21"/>
          <w:szCs w:val="21"/>
        </w:rPr>
      </w:r>
    </w:p>
    <w:p w14:paraId="4BB739E7" w14:textId="77777777">
      <w:pPr>
        <w:pBdr/>
        <w:spacing w:line="360" w:lineRule="auto"/>
        <w:ind/>
        <w:jc w:val="both"/>
        <w:rPr>
          <w:sz w:val="21"/>
          <w:szCs w:val="21"/>
        </w:rPr>
      </w:pPr>
      <w:r>
        <w:rPr>
          <w:sz w:val="21"/>
          <w:szCs w:val="21"/>
        </w:rPr>
        <w:t xml:space="preserve">6.9.4. Notificar a CONTRATADA de qualquer irregularidade encontrada nos produtos fornecidos.</w:t>
      </w:r>
      <w:r>
        <w:rPr>
          <w:sz w:val="21"/>
          <w:szCs w:val="21"/>
        </w:rPr>
      </w:r>
    </w:p>
    <w:p w14:paraId="4F3541D0" w14:textId="77777777">
      <w:pPr>
        <w:pBdr/>
        <w:spacing w:line="360" w:lineRule="auto"/>
        <w:ind/>
        <w:jc w:val="both"/>
        <w:rPr>
          <w:sz w:val="21"/>
          <w:szCs w:val="21"/>
        </w:rPr>
      </w:pPr>
      <w:r>
        <w:rPr>
          <w:sz w:val="21"/>
          <w:szCs w:val="21"/>
        </w:rPr>
        <w:t xml:space="preserve">6.9.5. Efetuar o pagamento à CONTRATADA, nas condições estabelecidas no edital.</w:t>
      </w:r>
      <w:r>
        <w:rPr>
          <w:sz w:val="21"/>
          <w:szCs w:val="21"/>
        </w:rPr>
      </w:r>
    </w:p>
    <w:p w14:paraId="492A9BCF" w14:textId="77777777">
      <w:pPr>
        <w:pBdr/>
        <w:spacing w:line="360" w:lineRule="auto"/>
        <w:ind/>
        <w:jc w:val="both"/>
        <w:rPr>
          <w:sz w:val="21"/>
          <w:szCs w:val="21"/>
        </w:rPr>
      </w:pPr>
      <w:r>
        <w:rPr>
          <w:sz w:val="21"/>
          <w:szCs w:val="21"/>
        </w:rPr>
        <w:t xml:space="preserve">6.9.6. Nenhum pagamento será efetuado à empresa adjudicatária, enquanto pendente de liquidação qualquer obrigação. Esse fato não será gerador de direito a reajustamento de preços ou a atualização monetária.</w:t>
      </w:r>
      <w:r>
        <w:rPr>
          <w:sz w:val="21"/>
          <w:szCs w:val="21"/>
        </w:rPr>
      </w:r>
    </w:p>
    <w:p w14:paraId="02A82679" w14:textId="77777777">
      <w:pPr>
        <w:pBdr/>
        <w:spacing w:line="360" w:lineRule="auto"/>
        <w:ind/>
        <w:jc w:val="both"/>
        <w:rPr>
          <w:sz w:val="21"/>
          <w:szCs w:val="21"/>
        </w:rPr>
      </w:pPr>
      <w:r>
        <w:rPr>
          <w:sz w:val="21"/>
          <w:szCs w:val="21"/>
        </w:rPr>
        <w:t xml:space="preserve">6.9.7. Não haverá, sob hipótese alguma, pagamento antecipado.</w:t>
      </w:r>
      <w:r>
        <w:rPr>
          <w:sz w:val="21"/>
          <w:szCs w:val="21"/>
        </w:rPr>
      </w:r>
    </w:p>
    <w:p w14:paraId="07D8B45F" w14:textId="77777777">
      <w:pPr>
        <w:pBdr/>
        <w:spacing w:line="360" w:lineRule="auto"/>
        <w:ind/>
        <w:jc w:val="both"/>
        <w:rPr>
          <w:sz w:val="21"/>
          <w:szCs w:val="21"/>
        </w:rPr>
      </w:pPr>
      <w:r>
        <w:rPr>
          <w:sz w:val="21"/>
          <w:szCs w:val="21"/>
        </w:rPr>
        <w:t xml:space="preserve">6.9.8. Coordenar e fiscalizar a entrega dos produtos pertinentes à aquisição</w:t>
      </w:r>
      <w:r>
        <w:rPr>
          <w:sz w:val="21"/>
          <w:szCs w:val="21"/>
        </w:rPr>
      </w:r>
    </w:p>
    <w:p w14:paraId="1F8C4DC6" w14:textId="77777777">
      <w:pPr>
        <w:pBdr/>
        <w:spacing w:line="360" w:lineRule="auto"/>
        <w:ind/>
        <w:jc w:val="both"/>
        <w:rPr>
          <w:sz w:val="21"/>
          <w:szCs w:val="21"/>
        </w:rPr>
      </w:pPr>
      <w:r>
        <w:rPr>
          <w:sz w:val="21"/>
          <w:szCs w:val="21"/>
        </w:rPr>
        <w:t xml:space="preserve">6.9.9. Prestar as informações e os esclarecimentos que fizerem necessários.</w:t>
      </w:r>
      <w:r>
        <w:rPr>
          <w:sz w:val="21"/>
          <w:szCs w:val="21"/>
        </w:rPr>
      </w:r>
    </w:p>
    <w:p w14:paraId="6490644F" w14:textId="77777777">
      <w:pPr>
        <w:pBdr/>
        <w:spacing w:line="360" w:lineRule="auto"/>
        <w:ind/>
        <w:jc w:val="both"/>
        <w:rPr>
          <w:sz w:val="21"/>
          <w:szCs w:val="21"/>
        </w:rPr>
      </w:pPr>
      <w:r>
        <w:rPr>
          <w:sz w:val="21"/>
          <w:szCs w:val="21"/>
        </w:rPr>
        <w:t xml:space="preserve">6.10. Das Obrigações da Contratada:</w:t>
      </w:r>
      <w:r>
        <w:rPr>
          <w:sz w:val="21"/>
          <w:szCs w:val="21"/>
        </w:rPr>
      </w:r>
    </w:p>
    <w:p w14:paraId="12650EEB" w14:textId="77777777">
      <w:pPr>
        <w:pBdr/>
        <w:spacing w:line="360" w:lineRule="auto"/>
        <w:ind/>
        <w:jc w:val="both"/>
        <w:rPr>
          <w:sz w:val="21"/>
          <w:szCs w:val="21"/>
        </w:rPr>
      </w:pPr>
      <w:r>
        <w:rPr>
          <w:sz w:val="21"/>
          <w:szCs w:val="21"/>
        </w:rPr>
        <w:t xml:space="preserve">6.10.1. Após a homologação da licitação, comparecer a Prefeitura Municipal para assinatura do contrato, ou outro documento equivalente, em até 05 (cinco) dias úteis, contados do recebimento da convocação formal;</w:t>
      </w:r>
      <w:r>
        <w:rPr>
          <w:sz w:val="21"/>
          <w:szCs w:val="21"/>
        </w:rPr>
      </w:r>
    </w:p>
    <w:p w14:paraId="49FA11DB" w14:textId="77777777">
      <w:pPr>
        <w:pBdr/>
        <w:spacing w:line="360" w:lineRule="auto"/>
        <w:ind/>
        <w:jc w:val="both"/>
        <w:rPr>
          <w:sz w:val="21"/>
          <w:szCs w:val="21"/>
        </w:rPr>
      </w:pPr>
      <w:r>
        <w:rPr>
          <w:sz w:val="21"/>
          <w:szCs w:val="21"/>
        </w:rPr>
        <w:t xml:space="preserve">6.10.2. A Administração, em</w:t>
      </w:r>
      <w:r>
        <w:rPr>
          <w:sz w:val="21"/>
          <w:szCs w:val="21"/>
        </w:rPr>
        <w:t xml:space="preserve"> vez de convocar o adjudicatário, poderá encaminhá-lo, o instrumento contratual, mediante correspondência postal com aviso de recebimento (AR) ou meio eletrônico, para que seja assinado no prazo de 03 (três) dias úteis, a contar da data de seu recebimento.</w:t>
      </w:r>
      <w:r>
        <w:rPr>
          <w:sz w:val="21"/>
          <w:szCs w:val="21"/>
        </w:rPr>
      </w:r>
    </w:p>
    <w:p w14:paraId="198BD926" w14:textId="77777777">
      <w:pPr>
        <w:pBdr/>
        <w:spacing w:line="360" w:lineRule="auto"/>
        <w:ind/>
        <w:jc w:val="both"/>
        <w:rPr>
          <w:sz w:val="21"/>
          <w:szCs w:val="21"/>
        </w:rPr>
      </w:pPr>
      <w:r>
        <w:rPr>
          <w:sz w:val="21"/>
          <w:szCs w:val="21"/>
        </w:rPr>
        <w:t xml:space="preserve">6.10.3. O prazo previsto no subitem anterior poderá ser prorrogado, por igual período, por solicitação justificada do adjudicatário e aceita pela Administração.</w:t>
      </w:r>
      <w:r>
        <w:rPr>
          <w:sz w:val="21"/>
          <w:szCs w:val="21"/>
        </w:rPr>
      </w:r>
    </w:p>
    <w:p w14:paraId="2516516F" w14:textId="77777777">
      <w:pPr>
        <w:pBdr>
          <w:top w:val="single" w:color="000000" w:sz="4" w:space="0"/>
          <w:left w:val="single" w:color="000000" w:sz="4" w:space="0"/>
          <w:bottom w:val="single" w:color="000000" w:sz="4" w:space="0"/>
          <w:right w:val="single" w:color="000000" w:sz="4" w:space="0"/>
        </w:pBdr>
        <w:shd w:val="clear" w:color="auto" w:fill="dddddd"/>
        <w:tabs>
          <w:tab w:val="left" w:leader="none" w:pos="567"/>
        </w:tabs>
        <w:spacing w:line="276" w:lineRule="auto"/>
        <w:ind/>
        <w:jc w:val="center"/>
        <w:rPr>
          <w:b/>
          <w:bCs/>
        </w:rPr>
      </w:pPr>
      <w:r>
        <w:rPr>
          <w:b/>
          <w:bCs/>
        </w:rPr>
        <w:t xml:space="preserve">7. CRITÉRIOS DE RECEBIMENTO/MEDIÇÃO E DE PAGAMENTO</w:t>
      </w:r>
      <w:r>
        <w:rPr>
          <w:b/>
          <w:bCs/>
        </w:rPr>
      </w:r>
    </w:p>
    <w:p w14:paraId="643EE5DD" w14:textId="77777777">
      <w:pPr>
        <w:pBdr/>
        <w:tabs>
          <w:tab w:val="left" w:leader="none" w:pos="567"/>
        </w:tabs>
        <w:spacing w:line="360" w:lineRule="auto"/>
        <w:ind/>
        <w:jc w:val="both"/>
        <w:rPr>
          <w:sz w:val="24"/>
          <w:szCs w:val="24"/>
        </w:rPr>
      </w:pPr>
      <w:r>
        <w:rPr>
          <w:sz w:val="24"/>
          <w:szCs w:val="24"/>
        </w:rPr>
        <w:t xml:space="preserve">7.1. Recebimento dos Serviços</w:t>
      </w:r>
      <w:r>
        <w:rPr>
          <w:sz w:val="24"/>
          <w:szCs w:val="24"/>
        </w:rPr>
      </w:r>
    </w:p>
    <w:p w14:paraId="5C05479E" w14:textId="77777777">
      <w:pPr>
        <w:pBdr/>
        <w:tabs>
          <w:tab w:val="left" w:leader="none" w:pos="567"/>
        </w:tabs>
        <w:spacing w:line="360" w:lineRule="auto"/>
        <w:ind/>
        <w:jc w:val="both"/>
        <w:rPr>
          <w:sz w:val="24"/>
          <w:szCs w:val="24"/>
        </w:rPr>
      </w:pPr>
      <w:r>
        <w:rPr>
          <w:sz w:val="24"/>
          <w:szCs w:val="24"/>
        </w:rPr>
        <w:t xml:space="preserve">7.1.1. Os serviços executados serão recebidos provisoriamente, de forma sumária, após a conclusão do serviço ou</w:t>
      </w:r>
      <w:r>
        <w:rPr>
          <w:sz w:val="24"/>
          <w:szCs w:val="24"/>
        </w:rPr>
        <w:t xml:space="preserve"> da etapa executada, mediante verificação inicial pela fiscalização designada, acompanhados da nota fiscal ou documento de cobrança equivalente, para posterior análise de conformidade com as especificações deste Termo de Referência e da proposta vencedora.</w:t>
      </w:r>
      <w:r>
        <w:rPr>
          <w:sz w:val="24"/>
          <w:szCs w:val="24"/>
        </w:rPr>
      </w:r>
    </w:p>
    <w:p w14:paraId="51996DA9" w14:textId="77777777">
      <w:pPr>
        <w:pBdr/>
        <w:tabs>
          <w:tab w:val="left" w:leader="none" w:pos="567"/>
        </w:tabs>
        <w:spacing w:line="360" w:lineRule="auto"/>
        <w:ind/>
        <w:jc w:val="both"/>
        <w:rPr>
          <w:sz w:val="24"/>
          <w:szCs w:val="24"/>
        </w:rPr>
      </w:pPr>
      <w:r>
        <w:rPr>
          <w:sz w:val="24"/>
          <w:szCs w:val="24"/>
        </w:rPr>
        <w:t xml:space="preserve">7.1.2. Os ser</w:t>
      </w:r>
      <w:r>
        <w:rPr>
          <w:sz w:val="24"/>
          <w:szCs w:val="24"/>
        </w:rPr>
        <w:t xml:space="preserve">viços poderão ser rejeitados, no todo ou em parte, quando executados em desacordo com as condições pactuadas, devendo a contratada promover as correções necessárias no prazo fixado pela Administração, sem ônus adicional e sem prejuízo das sanções cabíveis.</w:t>
      </w:r>
      <w:r>
        <w:rPr>
          <w:sz w:val="24"/>
          <w:szCs w:val="24"/>
        </w:rPr>
      </w:r>
    </w:p>
    <w:p w14:paraId="0610D081" w14:textId="77777777">
      <w:pPr>
        <w:pBdr/>
        <w:tabs>
          <w:tab w:val="left" w:leader="none" w:pos="567"/>
        </w:tabs>
        <w:spacing w:line="360" w:lineRule="auto"/>
        <w:ind/>
        <w:jc w:val="both"/>
        <w:rPr>
          <w:sz w:val="24"/>
          <w:szCs w:val="24"/>
        </w:rPr>
      </w:pPr>
      <w:r>
        <w:rPr>
          <w:sz w:val="24"/>
          <w:szCs w:val="24"/>
        </w:rPr>
        <w:t xml:space="preserve">7.1.3. O recebimento definiti</w:t>
      </w:r>
      <w:r>
        <w:rPr>
          <w:sz w:val="24"/>
          <w:szCs w:val="24"/>
        </w:rPr>
        <w:t xml:space="preserve">vo ocorrerá após a verificação detalhada da qualidade, regularidade, tempestividade e conformidade da execução, mediante atesto formal da fiscalização, no prazo de até 15 (quinze) dias úteis, contados do recebimento da nota fiscal ou documento equivalente.</w:t>
      </w:r>
      <w:r>
        <w:rPr>
          <w:sz w:val="24"/>
          <w:szCs w:val="24"/>
        </w:rPr>
      </w:r>
    </w:p>
    <w:p w14:paraId="4E1B8BC0" w14:textId="77777777">
      <w:pPr>
        <w:pBdr/>
        <w:tabs>
          <w:tab w:val="left" w:leader="none" w:pos="567"/>
        </w:tabs>
        <w:spacing w:line="360" w:lineRule="auto"/>
        <w:ind/>
        <w:jc w:val="both"/>
        <w:rPr>
          <w:sz w:val="24"/>
          <w:szCs w:val="24"/>
        </w:rPr>
      </w:pPr>
      <w:r>
        <w:rPr>
          <w:sz w:val="24"/>
          <w:szCs w:val="24"/>
        </w:rPr>
        <w:t xml:space="preserve">7.1.4. O prazo para recebimento definitivo poderá ser prorrogado, de forma justificada, quando houver necessidade de diligências para aferição do cumprimento das obrigações contratuais.</w:t>
      </w:r>
      <w:r>
        <w:rPr>
          <w:sz w:val="24"/>
          <w:szCs w:val="24"/>
        </w:rPr>
      </w:r>
    </w:p>
    <w:p w14:paraId="11CD2902" w14:textId="77777777">
      <w:pPr>
        <w:pBdr/>
        <w:tabs>
          <w:tab w:val="left" w:leader="none" w:pos="567"/>
        </w:tabs>
        <w:spacing w:line="360" w:lineRule="auto"/>
        <w:ind/>
        <w:jc w:val="both"/>
        <w:rPr>
          <w:sz w:val="24"/>
          <w:szCs w:val="24"/>
        </w:rPr>
      </w:pPr>
      <w:r>
        <w:rPr>
          <w:sz w:val="24"/>
          <w:szCs w:val="24"/>
        </w:rPr>
        <w:t xml:space="preserve">7.1.</w:t>
      </w:r>
      <w:r>
        <w:rPr>
          <w:sz w:val="24"/>
          <w:szCs w:val="24"/>
        </w:rPr>
        <w:t xml:space="preserve">5. Em caso de controvérsia quanto à execução do objeto, especialmente quanto à qualidade, extensão ou regularidade do serviço, será observado o disposto no art. 143 da Lei nº 14.133/2021, assegurando-se o pagamento da parcela incontroversa, quando cabível.</w:t>
      </w:r>
      <w:r>
        <w:rPr>
          <w:sz w:val="24"/>
          <w:szCs w:val="24"/>
        </w:rPr>
      </w:r>
    </w:p>
    <w:p w14:paraId="06AAE68E" w14:textId="77777777">
      <w:pPr>
        <w:pBdr/>
        <w:tabs>
          <w:tab w:val="left" w:leader="none" w:pos="567"/>
        </w:tabs>
        <w:spacing w:line="360" w:lineRule="auto"/>
        <w:ind/>
        <w:jc w:val="both"/>
        <w:rPr>
          <w:sz w:val="24"/>
          <w:szCs w:val="24"/>
        </w:rPr>
      </w:pPr>
      <w:r>
        <w:rPr>
          <w:sz w:val="24"/>
          <w:szCs w:val="24"/>
        </w:rPr>
        <w:t xml:space="preserve">7.1.6. O prazo de recebimento definitivo não inclui o tempo necessário para correção de inconformidades identificadas ou ajustes em documentos fiscais.</w:t>
      </w:r>
      <w:r>
        <w:rPr>
          <w:sz w:val="24"/>
          <w:szCs w:val="24"/>
        </w:rPr>
      </w:r>
    </w:p>
    <w:p w14:paraId="655B8B3C" w14:textId="77777777">
      <w:pPr>
        <w:pBdr/>
        <w:tabs>
          <w:tab w:val="left" w:leader="none" w:pos="567"/>
        </w:tabs>
        <w:spacing w:line="360" w:lineRule="auto"/>
        <w:ind/>
        <w:jc w:val="both"/>
        <w:rPr>
          <w:sz w:val="24"/>
          <w:szCs w:val="24"/>
        </w:rPr>
      </w:pPr>
      <w:r>
        <w:rPr>
          <w:sz w:val="24"/>
          <w:szCs w:val="24"/>
        </w:rPr>
        <w:t xml:space="preserve">7.1.7. O recebimento provisório ou definitivo não im</w:t>
      </w:r>
      <w:r>
        <w:rPr>
          <w:sz w:val="24"/>
          <w:szCs w:val="24"/>
        </w:rPr>
        <w:t xml:space="preserve">plica reconhecimento automático da perfeita execução do serviço, permanecendo a contratada responsável por vícios, falhas técnicas, descumprimento de prazos ou inobservância das normas sanitárias, nos termos dos arts. 140, §2º, e 143 da Lei nº 14.133/2021.</w:t>
      </w:r>
      <w:r>
        <w:rPr>
          <w:sz w:val="24"/>
          <w:szCs w:val="24"/>
        </w:rPr>
      </w:r>
    </w:p>
    <w:p w14:paraId="03F958BD" w14:textId="77777777">
      <w:pPr>
        <w:pBdr/>
        <w:tabs>
          <w:tab w:val="left" w:leader="none" w:pos="567"/>
        </w:tabs>
        <w:spacing w:line="360" w:lineRule="auto"/>
        <w:ind/>
        <w:jc w:val="both"/>
        <w:rPr>
          <w:sz w:val="24"/>
          <w:szCs w:val="24"/>
        </w:rPr>
      </w:pPr>
      <w:r>
        <w:rPr>
          <w:sz w:val="24"/>
          <w:szCs w:val="24"/>
        </w:rPr>
        <w:t xml:space="preserve">7.2 Liquidação:</w:t>
      </w:r>
      <w:r>
        <w:rPr>
          <w:sz w:val="24"/>
          <w:szCs w:val="24"/>
        </w:rPr>
      </w:r>
    </w:p>
    <w:p w14:paraId="0FCDF945" w14:textId="77777777">
      <w:pPr>
        <w:pBdr/>
        <w:tabs>
          <w:tab w:val="left" w:leader="none" w:pos="567"/>
        </w:tabs>
        <w:spacing w:line="360" w:lineRule="auto"/>
        <w:ind/>
        <w:jc w:val="both"/>
        <w:rPr>
          <w:sz w:val="24"/>
          <w:szCs w:val="24"/>
        </w:rPr>
      </w:pPr>
      <w:r>
        <w:rPr>
          <w:sz w:val="24"/>
          <w:szCs w:val="24"/>
        </w:rPr>
        <w:t xml:space="preserve">7.2.1. Recebida a nota fiscal ou documento de cobrança equivalente, o prazo para liquidação da despesa será de até 15 (quinze) dias úteis, prorrogáveis por igual período, nos termos do art. 141 da Lei nº 14.133/2021.</w:t>
      </w:r>
      <w:r>
        <w:rPr>
          <w:sz w:val="24"/>
          <w:szCs w:val="24"/>
        </w:rPr>
      </w:r>
    </w:p>
    <w:p w14:paraId="6BE07ECA" w14:textId="77777777">
      <w:pPr>
        <w:pBdr/>
        <w:tabs>
          <w:tab w:val="left" w:leader="none" w:pos="567"/>
        </w:tabs>
        <w:spacing w:line="360" w:lineRule="auto"/>
        <w:ind/>
        <w:jc w:val="both"/>
        <w:rPr>
          <w:sz w:val="24"/>
          <w:szCs w:val="24"/>
        </w:rPr>
      </w:pPr>
      <w:r>
        <w:rPr>
          <w:sz w:val="24"/>
          <w:szCs w:val="24"/>
        </w:rPr>
        <w:t xml:space="preserve">7.2.2. Quando se tratar de contratações com valores até o limite previsto no inciso II do art. 75 da mesma Lei, o prazo de liquidação será reduzido à metade, mantida a possibilidade de prorrogação.</w:t>
      </w:r>
      <w:r>
        <w:rPr>
          <w:sz w:val="24"/>
          <w:szCs w:val="24"/>
        </w:rPr>
      </w:r>
    </w:p>
    <w:p w14:paraId="1E6D0A77" w14:textId="77777777">
      <w:pPr>
        <w:pBdr/>
        <w:tabs>
          <w:tab w:val="left" w:leader="none" w:pos="567"/>
        </w:tabs>
        <w:spacing w:line="360" w:lineRule="auto"/>
        <w:ind/>
        <w:jc w:val="both"/>
        <w:rPr>
          <w:sz w:val="24"/>
          <w:szCs w:val="24"/>
        </w:rPr>
      </w:pPr>
      <w:r>
        <w:rPr>
          <w:sz w:val="24"/>
          <w:szCs w:val="24"/>
        </w:rPr>
        <w:t xml:space="preserve">7.2.3. Para fins de liquidação, o setor competente deverá verificar se o documento apresentado contém:</w:t>
      </w:r>
      <w:r>
        <w:rPr>
          <w:sz w:val="24"/>
          <w:szCs w:val="24"/>
        </w:rPr>
      </w:r>
    </w:p>
    <w:p w14:paraId="58372D1A" w14:textId="77777777">
      <w:pPr>
        <w:pBdr/>
        <w:tabs>
          <w:tab w:val="left" w:leader="none" w:pos="567"/>
        </w:tabs>
        <w:spacing w:line="360" w:lineRule="auto"/>
        <w:ind/>
        <w:jc w:val="both"/>
        <w:rPr>
          <w:sz w:val="24"/>
          <w:szCs w:val="24"/>
        </w:rPr>
      </w:pPr>
      <w:r>
        <w:rPr>
          <w:sz w:val="24"/>
          <w:szCs w:val="24"/>
        </w:rPr>
        <w:t xml:space="preserve">a) Data de emissão e prazo de validade;</w:t>
      </w:r>
      <w:r>
        <w:rPr>
          <w:sz w:val="24"/>
          <w:szCs w:val="24"/>
        </w:rPr>
      </w:r>
    </w:p>
    <w:p w14:paraId="57CA2F49" w14:textId="77777777">
      <w:pPr>
        <w:pBdr/>
        <w:tabs>
          <w:tab w:val="left" w:leader="none" w:pos="567"/>
        </w:tabs>
        <w:spacing w:line="360" w:lineRule="auto"/>
        <w:ind/>
        <w:jc w:val="both"/>
        <w:rPr>
          <w:sz w:val="24"/>
          <w:szCs w:val="24"/>
        </w:rPr>
      </w:pPr>
      <w:r>
        <w:rPr>
          <w:sz w:val="24"/>
          <w:szCs w:val="24"/>
        </w:rPr>
        <w:t xml:space="preserve">b) Dados do contrato e da unidade contratante;</w:t>
      </w:r>
      <w:r>
        <w:rPr>
          <w:sz w:val="24"/>
          <w:szCs w:val="24"/>
        </w:rPr>
      </w:r>
    </w:p>
    <w:p w14:paraId="0284F27E" w14:textId="77777777">
      <w:pPr>
        <w:pBdr/>
        <w:tabs>
          <w:tab w:val="left" w:leader="none" w:pos="567"/>
        </w:tabs>
        <w:spacing w:line="360" w:lineRule="auto"/>
        <w:ind/>
        <w:jc w:val="both"/>
        <w:rPr>
          <w:sz w:val="24"/>
          <w:szCs w:val="24"/>
        </w:rPr>
      </w:pPr>
      <w:r>
        <w:rPr>
          <w:sz w:val="24"/>
          <w:szCs w:val="24"/>
        </w:rPr>
        <w:t xml:space="preserve">c) Período de execução do fornecimento;</w:t>
      </w:r>
      <w:r>
        <w:rPr>
          <w:sz w:val="24"/>
          <w:szCs w:val="24"/>
        </w:rPr>
      </w:r>
    </w:p>
    <w:p w14:paraId="41577FA0" w14:textId="77777777">
      <w:pPr>
        <w:pBdr/>
        <w:tabs>
          <w:tab w:val="left" w:leader="none" w:pos="567"/>
        </w:tabs>
        <w:spacing w:line="360" w:lineRule="auto"/>
        <w:ind/>
        <w:jc w:val="both"/>
        <w:rPr>
          <w:sz w:val="24"/>
          <w:szCs w:val="24"/>
        </w:rPr>
      </w:pPr>
      <w:r>
        <w:rPr>
          <w:sz w:val="24"/>
          <w:szCs w:val="24"/>
        </w:rPr>
        <w:t xml:space="preserve">d) Valor a ser pago;</w:t>
      </w:r>
      <w:r>
        <w:rPr>
          <w:sz w:val="24"/>
          <w:szCs w:val="24"/>
        </w:rPr>
      </w:r>
    </w:p>
    <w:p w14:paraId="54C7EB47" w14:textId="77777777">
      <w:pPr>
        <w:pBdr/>
        <w:tabs>
          <w:tab w:val="left" w:leader="none" w:pos="567"/>
        </w:tabs>
        <w:spacing w:line="360" w:lineRule="auto"/>
        <w:ind/>
        <w:jc w:val="both"/>
        <w:rPr>
          <w:sz w:val="24"/>
          <w:szCs w:val="24"/>
        </w:rPr>
      </w:pPr>
      <w:r>
        <w:rPr>
          <w:sz w:val="24"/>
          <w:szCs w:val="24"/>
        </w:rPr>
        <w:t xml:space="preserve">e) Eventuais retenções tributárias previstas na legislação.</w:t>
      </w:r>
      <w:r>
        <w:rPr>
          <w:sz w:val="24"/>
          <w:szCs w:val="24"/>
        </w:rPr>
      </w:r>
    </w:p>
    <w:p w14:paraId="1499DE95" w14:textId="77777777">
      <w:pPr>
        <w:pBdr/>
        <w:tabs>
          <w:tab w:val="left" w:leader="none" w:pos="567"/>
        </w:tabs>
        <w:spacing w:line="360" w:lineRule="auto"/>
        <w:ind/>
        <w:jc w:val="both"/>
        <w:rPr>
          <w:sz w:val="24"/>
          <w:szCs w:val="24"/>
        </w:rPr>
      </w:pPr>
      <w:r>
        <w:rPr>
          <w:sz w:val="24"/>
          <w:szCs w:val="24"/>
        </w:rPr>
        <w:t xml:space="preserve">7.2.4. Constatado erro ou impedimento à liquidação, esta será suspensa até a regularização da pendência pela contratada, reiniciando-se o prazo após a comprovação da correção, sem ônus à Administração.</w:t>
      </w:r>
      <w:r>
        <w:rPr>
          <w:sz w:val="24"/>
          <w:szCs w:val="24"/>
        </w:rPr>
      </w:r>
    </w:p>
    <w:p w14:paraId="6DFCC129" w14:textId="77777777">
      <w:pPr>
        <w:pBdr/>
        <w:tabs>
          <w:tab w:val="left" w:leader="none" w:pos="567"/>
        </w:tabs>
        <w:spacing w:line="360" w:lineRule="auto"/>
        <w:ind/>
        <w:jc w:val="both"/>
        <w:rPr>
          <w:sz w:val="24"/>
          <w:szCs w:val="24"/>
        </w:rPr>
      </w:pPr>
      <w:r>
        <w:rPr>
          <w:sz w:val="24"/>
          <w:szCs w:val="24"/>
        </w:rPr>
        <w:t xml:space="preserve">7.2.5. A nota fiscal deverá vir acompanhada da comprovação da regularidade fiscal e trabalhista da contratada, conforme o art. 68 da Lei nº 14.133/2021, mediante consulta a sítios oficiais ou apresentação de documentos pertinentes.</w:t>
      </w:r>
      <w:r>
        <w:rPr>
          <w:sz w:val="24"/>
          <w:szCs w:val="24"/>
        </w:rPr>
      </w:r>
    </w:p>
    <w:p w14:paraId="148B233B" w14:textId="77777777">
      <w:pPr>
        <w:pBdr/>
        <w:tabs>
          <w:tab w:val="left" w:leader="none" w:pos="567"/>
        </w:tabs>
        <w:spacing w:line="360" w:lineRule="auto"/>
        <w:ind/>
        <w:jc w:val="both"/>
        <w:rPr>
          <w:sz w:val="24"/>
          <w:szCs w:val="24"/>
        </w:rPr>
      </w:pPr>
      <w:r>
        <w:rPr>
          <w:sz w:val="24"/>
          <w:szCs w:val="24"/>
        </w:rPr>
        <w:t xml:space="preserve">7.2.6. Persisti</w:t>
      </w:r>
      <w:r>
        <w:rPr>
          <w:sz w:val="24"/>
          <w:szCs w:val="24"/>
        </w:rPr>
        <w:t xml:space="preserve">ndo irregularidade fiscal ou ausência de defesa aceita, a Administração comunicará os órgãos competentes e adotará medidas para garantir a preservação do interesse público, inclusive a rescisão contratual com observância do contraditório e da ampla defesa.</w:t>
      </w:r>
      <w:r>
        <w:rPr>
          <w:sz w:val="24"/>
          <w:szCs w:val="24"/>
        </w:rPr>
      </w:r>
    </w:p>
    <w:p w14:paraId="38D3401D" w14:textId="77777777">
      <w:pPr>
        <w:pBdr/>
        <w:tabs>
          <w:tab w:val="left" w:leader="none" w:pos="567"/>
        </w:tabs>
        <w:spacing w:line="360" w:lineRule="auto"/>
        <w:ind/>
        <w:jc w:val="both"/>
        <w:rPr>
          <w:sz w:val="24"/>
          <w:szCs w:val="24"/>
        </w:rPr>
      </w:pPr>
      <w:r>
        <w:rPr>
          <w:sz w:val="24"/>
          <w:szCs w:val="24"/>
        </w:rPr>
        <w:t xml:space="preserve">7.3 Pagamento:</w:t>
      </w:r>
      <w:r>
        <w:rPr>
          <w:sz w:val="24"/>
          <w:szCs w:val="24"/>
        </w:rPr>
      </w:r>
    </w:p>
    <w:p w14:paraId="1B4F5C6C" w14:textId="77777777">
      <w:pPr>
        <w:pBdr/>
        <w:tabs>
          <w:tab w:val="left" w:leader="none" w:pos="567"/>
        </w:tabs>
        <w:spacing w:line="360" w:lineRule="auto"/>
        <w:ind/>
        <w:jc w:val="both"/>
        <w:rPr>
          <w:sz w:val="24"/>
          <w:szCs w:val="24"/>
        </w:rPr>
      </w:pPr>
      <w:r>
        <w:rPr>
          <w:sz w:val="24"/>
          <w:szCs w:val="24"/>
        </w:rPr>
        <w:t xml:space="preserve">7.3.1. O pagamento será efetuado no prazo de até 30 (trinta) dias úteis, contados da conclusão da liquidação da despesa. Ocorrendo atraso imputável à Administração, será devida atualização monetária com base no IPCA.</w:t>
      </w:r>
      <w:r>
        <w:rPr>
          <w:sz w:val="24"/>
          <w:szCs w:val="24"/>
        </w:rPr>
      </w:r>
    </w:p>
    <w:p w14:paraId="4E996470" w14:textId="77777777">
      <w:pPr>
        <w:pBdr/>
        <w:tabs>
          <w:tab w:val="left" w:leader="none" w:pos="567"/>
        </w:tabs>
        <w:spacing w:line="360" w:lineRule="auto"/>
        <w:ind/>
        <w:jc w:val="both"/>
        <w:rPr>
          <w:sz w:val="24"/>
          <w:szCs w:val="24"/>
        </w:rPr>
      </w:pPr>
      <w:r>
        <w:rPr>
          <w:sz w:val="24"/>
          <w:szCs w:val="24"/>
        </w:rPr>
        <w:t xml:space="preserve">7.3.2. O pagamento será realizado por meio de ordem bancária, mediante crédito na conta corrente indicada pela contratada.</w:t>
      </w:r>
      <w:r>
        <w:rPr>
          <w:sz w:val="24"/>
          <w:szCs w:val="24"/>
        </w:rPr>
      </w:r>
    </w:p>
    <w:p w14:paraId="6DAF0848" w14:textId="77777777">
      <w:pPr>
        <w:pBdr/>
        <w:tabs>
          <w:tab w:val="left" w:leader="none" w:pos="567"/>
        </w:tabs>
        <w:spacing w:line="360" w:lineRule="auto"/>
        <w:ind/>
        <w:jc w:val="both"/>
        <w:rPr>
          <w:sz w:val="24"/>
          <w:szCs w:val="24"/>
        </w:rPr>
      </w:pPr>
      <w:r>
        <w:rPr>
          <w:sz w:val="24"/>
          <w:szCs w:val="24"/>
        </w:rPr>
        <w:t xml:space="preserve">7.3.3. Considera-se como data de pagamento aquela em que for emitida a ordem bancária.</w:t>
      </w:r>
      <w:r>
        <w:rPr>
          <w:sz w:val="24"/>
          <w:szCs w:val="24"/>
        </w:rPr>
      </w:r>
    </w:p>
    <w:p w14:paraId="6EDDAC10" w14:textId="77777777">
      <w:pPr>
        <w:pBdr/>
        <w:tabs>
          <w:tab w:val="left" w:leader="none" w:pos="567"/>
        </w:tabs>
        <w:spacing w:line="360" w:lineRule="auto"/>
        <w:ind/>
        <w:jc w:val="both"/>
        <w:rPr>
          <w:sz w:val="24"/>
          <w:szCs w:val="24"/>
        </w:rPr>
      </w:pPr>
      <w:r>
        <w:rPr>
          <w:sz w:val="24"/>
          <w:szCs w:val="24"/>
        </w:rPr>
        <w:t xml:space="preserve">7.3.4. Serão efetuadas as retenções tributárias previstas na legislação vigente, salvo nos casos de isenção legal.</w:t>
      </w:r>
      <w:r>
        <w:rPr>
          <w:sz w:val="24"/>
          <w:szCs w:val="24"/>
        </w:rPr>
      </w:r>
    </w:p>
    <w:p w14:paraId="491ED008" w14:textId="77777777">
      <w:pPr>
        <w:pBdr/>
        <w:tabs>
          <w:tab w:val="left" w:leader="none" w:pos="567"/>
        </w:tabs>
        <w:spacing w:line="360" w:lineRule="auto"/>
        <w:ind/>
        <w:jc w:val="both"/>
        <w:rPr>
          <w:sz w:val="24"/>
          <w:szCs w:val="24"/>
        </w:rPr>
      </w:pPr>
      <w:r>
        <w:rPr>
          <w:sz w:val="24"/>
          <w:szCs w:val="24"/>
        </w:rPr>
        <w:t xml:space="preserve">7.3.5. Caso a contratada seja optante do Simples Nacional, nos termos da Lei Complementar nº 123/2006, não haverá retenção dos tributos abrangidos, mediante apresentação de comprovação oficial do enquadramento no regime.</w:t>
      </w:r>
      <w:r>
        <w:rPr>
          <w:sz w:val="24"/>
          <w:szCs w:val="24"/>
        </w:rPr>
      </w:r>
    </w:p>
    <w:p w14:paraId="3E1FA43D" w14:textId="77777777">
      <w:pPr>
        <w:pBdr>
          <w:top w:val="single" w:color="000000" w:sz="4" w:space="0"/>
          <w:left w:val="single" w:color="000000" w:sz="4" w:space="0"/>
          <w:bottom w:val="single" w:color="000000" w:sz="4" w:space="0"/>
          <w:right w:val="single" w:color="000000" w:sz="4" w:space="0"/>
        </w:pBdr>
        <w:shd w:val="clear" w:color="auto" w:fill="d8d8d8" w:themeFill="background1" w:themeFillShade="D8"/>
        <w:tabs>
          <w:tab w:val="left" w:leader="none" w:pos="567"/>
        </w:tabs>
        <w:spacing/>
        <w:ind/>
        <w:jc w:val="center"/>
        <w:rPr/>
      </w:pPr>
      <w:r>
        <w:rPr>
          <w:b/>
          <w:bCs/>
        </w:rPr>
        <w:t xml:space="preserve">8. FORMA E CRITÉRIOS DE SELEÇÃO DO FORNECEDOR</w:t>
      </w:r>
      <w:r/>
    </w:p>
    <w:p w14:paraId="5EEC9020" w14:textId="77777777">
      <w:pPr>
        <w:pBdr/>
        <w:spacing w:line="360" w:lineRule="auto"/>
        <w:ind/>
        <w:jc w:val="both"/>
        <w:rPr>
          <w:sz w:val="21"/>
          <w:szCs w:val="21"/>
        </w:rPr>
      </w:pPr>
      <w:r>
        <w:rPr>
          <w:sz w:val="21"/>
          <w:szCs w:val="21"/>
        </w:rPr>
      </w:r>
      <w:r>
        <w:rPr>
          <w:sz w:val="21"/>
          <w:szCs w:val="21"/>
        </w:rPr>
      </w:r>
    </w:p>
    <w:p w14:paraId="3461FEE8" w14:textId="77777777">
      <w:pPr>
        <w:pBdr/>
        <w:spacing w:line="360" w:lineRule="auto"/>
        <w:ind/>
        <w:jc w:val="both"/>
        <w:rPr>
          <w:sz w:val="21"/>
          <w:szCs w:val="21"/>
        </w:rPr>
      </w:pPr>
      <w:r>
        <w:rPr>
          <w:sz w:val="21"/>
          <w:szCs w:val="21"/>
        </w:rPr>
        <w:t xml:space="preserve">8.1. Forma de seleção e critério de julgamento da proposta</w:t>
      </w:r>
      <w:r>
        <w:rPr>
          <w:sz w:val="21"/>
          <w:szCs w:val="21"/>
        </w:rPr>
      </w:r>
    </w:p>
    <w:p w14:paraId="2E7CD79C" w14:textId="77777777">
      <w:pPr>
        <w:pBdr/>
        <w:spacing w:line="360" w:lineRule="auto"/>
        <w:ind/>
        <w:jc w:val="both"/>
        <w:rPr>
          <w:sz w:val="21"/>
          <w:szCs w:val="21"/>
        </w:rPr>
      </w:pPr>
      <w:r>
        <w:rPr>
          <w:sz w:val="21"/>
          <w:szCs w:val="21"/>
        </w:rPr>
        <w:t xml:space="preserve">8.1.1. O fornecedor será selecionado por meio da realização de procedimento de licitação, na modalidade PREGÃO, sob a forma ELETRÔNICA,  com adoção do critério de julgamento pelo MENOR PREÇO.</w:t>
      </w:r>
      <w:r>
        <w:rPr>
          <w:sz w:val="21"/>
          <w:szCs w:val="21"/>
        </w:rPr>
      </w:r>
    </w:p>
    <w:p w14:paraId="06684089" w14:textId="77777777">
      <w:pPr>
        <w:pBdr/>
        <w:spacing w:line="360" w:lineRule="auto"/>
        <w:ind/>
        <w:jc w:val="both"/>
        <w:rPr>
          <w:sz w:val="21"/>
          <w:szCs w:val="21"/>
        </w:rPr>
      </w:pPr>
      <w:r>
        <w:rPr>
          <w:sz w:val="21"/>
          <w:szCs w:val="21"/>
        </w:rPr>
        <w:t xml:space="preserve">8.2. Exigências de habilitação</w:t>
      </w:r>
      <w:r>
        <w:rPr>
          <w:sz w:val="21"/>
          <w:szCs w:val="21"/>
        </w:rPr>
      </w:r>
    </w:p>
    <w:p w14:paraId="68807879" w14:textId="77777777">
      <w:pPr>
        <w:pBdr/>
        <w:spacing w:line="360" w:lineRule="auto"/>
        <w:ind/>
        <w:jc w:val="both"/>
        <w:rPr>
          <w:sz w:val="21"/>
          <w:szCs w:val="21"/>
        </w:rPr>
      </w:pPr>
      <w:r>
        <w:rPr>
          <w:sz w:val="21"/>
          <w:szCs w:val="21"/>
        </w:rPr>
        <w:t xml:space="preserve">Para fins de habilitação, deverá o licitante comprovar os seguintes requisitos:</w:t>
      </w:r>
      <w:r>
        <w:rPr>
          <w:sz w:val="21"/>
          <w:szCs w:val="21"/>
        </w:rPr>
      </w:r>
    </w:p>
    <w:p w14:paraId="239A9658" w14:textId="77777777">
      <w:pPr>
        <w:pBdr/>
        <w:spacing w:line="360" w:lineRule="auto"/>
        <w:ind/>
        <w:jc w:val="both"/>
        <w:rPr>
          <w:sz w:val="21"/>
          <w:szCs w:val="21"/>
        </w:rPr>
      </w:pPr>
      <w:r>
        <w:rPr>
          <w:sz w:val="21"/>
          <w:szCs w:val="21"/>
        </w:rPr>
        <w:t xml:space="preserve">8.2.1. Habilitação jurídica</w:t>
      </w:r>
      <w:r>
        <w:rPr>
          <w:sz w:val="21"/>
          <w:szCs w:val="21"/>
        </w:rPr>
      </w:r>
    </w:p>
    <w:p w14:paraId="7C868661" w14:textId="77777777">
      <w:pPr>
        <w:pBdr/>
        <w:spacing w:line="360" w:lineRule="auto"/>
        <w:ind/>
        <w:jc w:val="both"/>
        <w:rPr>
          <w:sz w:val="21"/>
          <w:szCs w:val="21"/>
        </w:rPr>
      </w:pPr>
      <w:r>
        <w:rPr>
          <w:sz w:val="21"/>
          <w:szCs w:val="21"/>
        </w:rPr>
        <w:t xml:space="preserve">8.2.1.1. Pessoa física: cédula de identidade (RG) ou documento equivalente que, por força de lei, tenha validade para fins de identificação em todo o território nacional;</w:t>
      </w:r>
      <w:r>
        <w:rPr>
          <w:sz w:val="21"/>
          <w:szCs w:val="21"/>
        </w:rPr>
      </w:r>
    </w:p>
    <w:p w14:paraId="4FDE4454" w14:textId="77777777">
      <w:pPr>
        <w:pBdr/>
        <w:spacing w:line="360" w:lineRule="auto"/>
        <w:ind/>
        <w:jc w:val="both"/>
        <w:rPr>
          <w:sz w:val="21"/>
          <w:szCs w:val="21"/>
        </w:rPr>
      </w:pPr>
      <w:r>
        <w:rPr>
          <w:sz w:val="21"/>
          <w:szCs w:val="21"/>
        </w:rPr>
        <w:t xml:space="preserve">8.2.1.2. Empresário individual: inscrição no Registro Público de Empresas Mercantis, a cargo da Junta Comercial da respectiva sede; </w:t>
      </w:r>
      <w:r>
        <w:rPr>
          <w:sz w:val="21"/>
          <w:szCs w:val="21"/>
        </w:rPr>
      </w:r>
    </w:p>
    <w:p w14:paraId="1CF0258E" w14:textId="77777777">
      <w:pPr>
        <w:pBdr/>
        <w:spacing w:line="360" w:lineRule="auto"/>
        <w:ind/>
        <w:jc w:val="both"/>
        <w:rPr>
          <w:sz w:val="21"/>
          <w:szCs w:val="21"/>
        </w:rPr>
      </w:pPr>
      <w:r>
        <w:rPr>
          <w:sz w:val="21"/>
          <w:szCs w:val="21"/>
        </w:rPr>
        <w:t xml:space="preserve">8.2.1.3. Microempreendedor Individual - MEI: Certificado da Condição de Microempreendedor Individual - CCMEI, cuja aceitação ficará condicionada à verificação da autenticidade no sítio https://www.gov.br/empresas-e-negocios/pt-br/empreendedor; </w:t>
      </w:r>
      <w:r>
        <w:rPr>
          <w:sz w:val="21"/>
          <w:szCs w:val="21"/>
        </w:rPr>
      </w:r>
    </w:p>
    <w:p w14:paraId="43DD86A9" w14:textId="77777777">
      <w:pPr>
        <w:pBdr/>
        <w:spacing w:line="360" w:lineRule="auto"/>
        <w:ind/>
        <w:jc w:val="both"/>
        <w:rPr>
          <w:sz w:val="21"/>
          <w:szCs w:val="21"/>
        </w:rPr>
      </w:pPr>
      <w:r>
        <w:rPr>
          <w:sz w:val="21"/>
          <w:szCs w:val="21"/>
        </w:rPr>
        <w:t xml:space="preserve">8.2.1.4. Sociedade empresária, sociedade limitada unipessoal – SLU ou sociedade identificada como empresa indivi</w:t>
      </w:r>
      <w:r>
        <w:rPr>
          <w:sz w:val="21"/>
          <w:szCs w:val="21"/>
        </w:rPr>
        <w:t xml:space="preserve">dual de responsabilidade limitada - EIRELI: inscrição do ato constitutivo, estatuto ou contrato social no Registro Público de Empresas Mercantis, a cargo da Junta Comercial da respectiva sede, acompanhada de documento comprobatório de seus administradores;</w:t>
      </w:r>
      <w:r>
        <w:rPr>
          <w:sz w:val="21"/>
          <w:szCs w:val="21"/>
        </w:rPr>
      </w:r>
    </w:p>
    <w:p w14:paraId="2483E593" w14:textId="77777777">
      <w:pPr>
        <w:pBdr/>
        <w:spacing w:line="360" w:lineRule="auto"/>
        <w:ind/>
        <w:jc w:val="both"/>
        <w:rPr>
          <w:sz w:val="21"/>
          <w:szCs w:val="21"/>
        </w:rPr>
      </w:pPr>
      <w:r>
        <w:rPr>
          <w:sz w:val="21"/>
          <w:szCs w:val="21"/>
        </w:rPr>
        <w:t xml:space="preserve">8.2.1.5. Sociedade simples: inscrição do ato constitutivo no Registro Civil de Pessoas Jurídicas do local de sua sede, acompanhada de documento comprobatório de seus administradores;</w:t>
      </w:r>
      <w:r>
        <w:rPr>
          <w:sz w:val="21"/>
          <w:szCs w:val="21"/>
        </w:rPr>
      </w:r>
    </w:p>
    <w:p w14:paraId="730B0C9E" w14:textId="77777777">
      <w:pPr>
        <w:pBdr/>
        <w:spacing w:line="360" w:lineRule="auto"/>
        <w:ind/>
        <w:jc w:val="both"/>
        <w:rPr>
          <w:sz w:val="21"/>
          <w:szCs w:val="21"/>
        </w:rPr>
      </w:pPr>
      <w:r>
        <w:rPr>
          <w:sz w:val="21"/>
          <w:szCs w:val="21"/>
        </w:rPr>
        <w:t xml:space="preserve">8.2.1.6. Filial, sucursal ou agência de sociedade simples ou empresária: ins</w:t>
      </w:r>
      <w:r>
        <w:rPr>
          <w:sz w:val="21"/>
          <w:szCs w:val="21"/>
        </w:rPr>
        <w:t xml:space="preserve">crição do ato constitutivo da filial, sucursal ou agência da sociedade simples ou empresária, respectivamente, no Registro Civil das Pessoas Jurídicas ou no Registro Público de Empresas Mercantis onde opera, com averbação no Registro onde tem sede a matriz</w:t>
      </w:r>
      <w:r>
        <w:rPr>
          <w:sz w:val="21"/>
          <w:szCs w:val="21"/>
        </w:rPr>
      </w:r>
    </w:p>
    <w:p w14:paraId="09F00FE6" w14:textId="77777777">
      <w:pPr>
        <w:pBdr/>
        <w:spacing w:line="360" w:lineRule="auto"/>
        <w:ind/>
        <w:jc w:val="both"/>
        <w:rPr>
          <w:sz w:val="21"/>
          <w:szCs w:val="21"/>
        </w:rPr>
      </w:pPr>
      <w:r>
        <w:rPr>
          <w:sz w:val="21"/>
          <w:szCs w:val="21"/>
        </w:rPr>
        <w:t xml:space="preserve">8.2.1.7. Os documentos apresentados deverão estar acompanhados de todas as alterações ou da consolidação respectiva.</w:t>
      </w:r>
      <w:r>
        <w:rPr>
          <w:sz w:val="21"/>
          <w:szCs w:val="21"/>
        </w:rPr>
      </w:r>
    </w:p>
    <w:p w14:paraId="599E9FD4" w14:textId="77777777">
      <w:pPr>
        <w:pBdr/>
        <w:spacing w:line="360" w:lineRule="auto"/>
        <w:ind/>
        <w:jc w:val="both"/>
        <w:rPr>
          <w:sz w:val="21"/>
          <w:szCs w:val="21"/>
        </w:rPr>
      </w:pPr>
      <w:r>
        <w:rPr>
          <w:sz w:val="21"/>
          <w:szCs w:val="21"/>
        </w:rPr>
        <w:t xml:space="preserve">8.3. Habilitação fiscal, social e trabalhista</w:t>
      </w:r>
      <w:r>
        <w:rPr>
          <w:sz w:val="21"/>
          <w:szCs w:val="21"/>
        </w:rPr>
      </w:r>
    </w:p>
    <w:p w14:paraId="3566677A" w14:textId="77777777">
      <w:pPr>
        <w:pBdr/>
        <w:spacing w:line="360" w:lineRule="auto"/>
        <w:ind/>
        <w:jc w:val="both"/>
        <w:rPr>
          <w:sz w:val="21"/>
          <w:szCs w:val="21"/>
        </w:rPr>
      </w:pPr>
      <w:r>
        <w:rPr>
          <w:sz w:val="21"/>
          <w:szCs w:val="21"/>
        </w:rPr>
        <w:t xml:space="preserve">8.3.1 Prova de inscrição no Cadastro Nacional de Pessoa Jurídica (CNPJ), ou no Cadastro de Pessoas Físicas, conforme o caso; </w:t>
      </w:r>
      <w:r>
        <w:rPr>
          <w:sz w:val="21"/>
          <w:szCs w:val="21"/>
        </w:rPr>
      </w:r>
    </w:p>
    <w:p w14:paraId="349C7688" w14:textId="77777777">
      <w:pPr>
        <w:pBdr/>
        <w:spacing w:line="360" w:lineRule="auto"/>
        <w:ind/>
        <w:jc w:val="both"/>
        <w:rPr>
          <w:sz w:val="21"/>
          <w:szCs w:val="21"/>
        </w:rPr>
      </w:pPr>
      <w:r>
        <w:rPr>
          <w:sz w:val="21"/>
          <w:szCs w:val="21"/>
        </w:rPr>
        <w:t xml:space="preserve">8.3.2. Prova de inscrição no cadastro de contribuintes estadual e/ou municipal, se houver, relativo ao domicílio ou sede do licitante, pertinente ao seu ramo de atividade e compatível com o objeto contratual; </w:t>
      </w:r>
      <w:r>
        <w:rPr>
          <w:sz w:val="21"/>
          <w:szCs w:val="21"/>
        </w:rPr>
      </w:r>
    </w:p>
    <w:p w14:paraId="717C169F" w14:textId="77777777">
      <w:pPr>
        <w:pBdr/>
        <w:spacing w:line="360" w:lineRule="auto"/>
        <w:ind/>
        <w:jc w:val="both"/>
        <w:rPr>
          <w:sz w:val="21"/>
          <w:szCs w:val="21"/>
        </w:rPr>
      </w:pPr>
      <w:r>
        <w:rPr>
          <w:sz w:val="21"/>
          <w:szCs w:val="21"/>
        </w:rPr>
        <w:t xml:space="preserve">8.3.3. Prova de regularidade para com as Fazendas federal, estadual/distrital e Municipal do domicílio ou sede do licitante, ou outra equivalente, na forma da lei;</w:t>
      </w:r>
      <w:r>
        <w:rPr>
          <w:sz w:val="21"/>
          <w:szCs w:val="21"/>
        </w:rPr>
      </w:r>
    </w:p>
    <w:p w14:paraId="407CBC16" w14:textId="77777777">
      <w:pPr>
        <w:pBdr/>
        <w:spacing w:line="360" w:lineRule="auto"/>
        <w:ind/>
        <w:jc w:val="both"/>
        <w:rPr>
          <w:sz w:val="21"/>
          <w:szCs w:val="21"/>
        </w:rPr>
      </w:pPr>
      <w:r>
        <w:rPr>
          <w:sz w:val="21"/>
          <w:szCs w:val="21"/>
        </w:rPr>
        <w:t xml:space="preserve">8.3.4. Prova de regularidade relativa à Seguridade Social e ao Fundo de Garantia por Tempo de Serviço (FGTS), demonstrando situação regular no cumprimento dos encargos sociais instituídos por lei. </w:t>
      </w:r>
      <w:r>
        <w:rPr>
          <w:sz w:val="21"/>
          <w:szCs w:val="21"/>
        </w:rPr>
      </w:r>
    </w:p>
    <w:p w14:paraId="0C48683E" w14:textId="77777777">
      <w:pPr>
        <w:pBdr/>
        <w:spacing w:line="360" w:lineRule="auto"/>
        <w:ind/>
        <w:jc w:val="both"/>
        <w:rPr>
          <w:sz w:val="21"/>
          <w:szCs w:val="21"/>
        </w:rPr>
      </w:pPr>
      <w:r>
        <w:rPr>
          <w:sz w:val="21"/>
          <w:szCs w:val="21"/>
        </w:rPr>
        <w:t xml:space="preserve">8.3.5. Prova de inexistência d</w:t>
      </w:r>
      <w:r>
        <w:rPr>
          <w:sz w:val="21"/>
          <w:szCs w:val="21"/>
        </w:rPr>
        <w:t xml:space="preserve">e débitos inadimplidos perante a Justiça do Trabalho, mediante apresentação de certidão negativa ou positiva com efeito de negativa, nos termos do Título VII-A da Consolidação das Leis do Trabalho, aprovada pelo Decreto-Lei no 5.452, de 1o de maio de 1943.</w:t>
      </w:r>
      <w:r>
        <w:rPr>
          <w:sz w:val="21"/>
          <w:szCs w:val="21"/>
        </w:rPr>
      </w:r>
    </w:p>
    <w:p w14:paraId="50D3DA9B" w14:textId="77777777">
      <w:pPr>
        <w:pBdr/>
        <w:spacing w:line="360" w:lineRule="auto"/>
        <w:ind/>
        <w:jc w:val="both"/>
        <w:rPr>
          <w:sz w:val="21"/>
          <w:szCs w:val="21"/>
        </w:rPr>
      </w:pPr>
      <w:r>
        <w:rPr>
          <w:sz w:val="21"/>
          <w:szCs w:val="21"/>
        </w:rPr>
        <w:t xml:space="preserve">8.3.6. Declaração expressa de que o licitante não emprega trabalhador menor nas situações previstas no inciso XXXIII do art. 7º da Constituição da República.</w:t>
      </w:r>
      <w:r>
        <w:rPr>
          <w:sz w:val="21"/>
          <w:szCs w:val="21"/>
        </w:rPr>
      </w:r>
    </w:p>
    <w:p w14:paraId="6A763C1B" w14:textId="77777777">
      <w:pPr>
        <w:pBdr/>
        <w:spacing w:line="360" w:lineRule="auto"/>
        <w:ind/>
        <w:jc w:val="both"/>
        <w:rPr>
          <w:sz w:val="21"/>
          <w:szCs w:val="21"/>
        </w:rPr>
      </w:pPr>
      <w:r>
        <w:rPr>
          <w:sz w:val="21"/>
          <w:szCs w:val="21"/>
        </w:rPr>
        <w:t xml:space="preserve">8.3.7. Os documentos referidos acima poderão ser substituídos ou supridos, no todo ou em parte, por outros meios hábeis a comprovar a regularidade do licitante, inclusive por meio eletrônico.</w:t>
      </w:r>
      <w:r>
        <w:rPr>
          <w:sz w:val="21"/>
          <w:szCs w:val="21"/>
        </w:rPr>
      </w:r>
    </w:p>
    <w:p w14:paraId="54ECC2CE" w14:textId="77777777">
      <w:pPr>
        <w:pBdr/>
        <w:spacing w:line="360" w:lineRule="auto"/>
        <w:ind/>
        <w:jc w:val="both"/>
        <w:rPr>
          <w:sz w:val="21"/>
          <w:szCs w:val="21"/>
        </w:rPr>
      </w:pPr>
      <w:r>
        <w:rPr>
          <w:sz w:val="21"/>
          <w:szCs w:val="21"/>
        </w:rPr>
        <w:t xml:space="preserve">8.4. Qualificação Econômico-Financeira</w:t>
      </w:r>
      <w:r>
        <w:rPr>
          <w:sz w:val="21"/>
          <w:szCs w:val="21"/>
        </w:rPr>
      </w:r>
    </w:p>
    <w:p w14:paraId="19FA415D" w14:textId="77777777">
      <w:pPr>
        <w:pBdr/>
        <w:spacing w:line="360" w:lineRule="auto"/>
        <w:ind/>
        <w:jc w:val="both"/>
        <w:rPr>
          <w:sz w:val="21"/>
          <w:szCs w:val="21"/>
        </w:rPr>
      </w:pPr>
      <w:r>
        <w:rPr>
          <w:sz w:val="21"/>
          <w:szCs w:val="21"/>
        </w:rPr>
        <w:t xml:space="preserve">8.4.1. Certidão negativa de feitos sobre falência expedida pelo distribuidor da sede do licitante.</w:t>
      </w:r>
      <w:r>
        <w:rPr>
          <w:sz w:val="21"/>
          <w:szCs w:val="21"/>
        </w:rPr>
      </w:r>
    </w:p>
    <w:p w14:paraId="30AA4F2C" w14:textId="77777777">
      <w:pPr>
        <w:pBdr/>
        <w:spacing w:line="360" w:lineRule="auto"/>
        <w:ind/>
        <w:jc w:val="both"/>
        <w:rPr>
          <w:sz w:val="21"/>
          <w:szCs w:val="21"/>
        </w:rPr>
      </w:pPr>
      <w:r>
        <w:rPr>
          <w:sz w:val="21"/>
          <w:szCs w:val="21"/>
        </w:rPr>
        <w:t xml:space="preserve">8.4.1.1. Na hipótese em que a certidão for positiva, caso a empresa se encontre em recuperação judicial ou extrajudicial, deve o licitante apresentar comprovante da homologação/deferimento, pelo juízo competente, do plano de recuperação em vigor.</w:t>
      </w:r>
      <w:r>
        <w:rPr>
          <w:sz w:val="21"/>
          <w:szCs w:val="21"/>
        </w:rPr>
      </w:r>
    </w:p>
    <w:p w14:paraId="10AC2247" w14:textId="77777777">
      <w:pPr>
        <w:pBdr/>
        <w:spacing w:line="360" w:lineRule="auto"/>
        <w:ind/>
        <w:jc w:val="both"/>
        <w:rPr>
          <w:sz w:val="21"/>
          <w:szCs w:val="21"/>
        </w:rPr>
      </w:pPr>
      <w:r>
        <w:rPr>
          <w:sz w:val="21"/>
          <w:szCs w:val="21"/>
        </w:rPr>
        <w:t xml:space="preserve">8.5. Qualificação Técnica </w:t>
      </w:r>
      <w:r>
        <w:rPr>
          <w:sz w:val="21"/>
          <w:szCs w:val="21"/>
        </w:rPr>
      </w:r>
    </w:p>
    <w:p w14:paraId="36ABC8B9" w14:textId="77777777">
      <w:pPr>
        <w:pBdr/>
        <w:spacing w:line="360" w:lineRule="auto"/>
        <w:ind/>
        <w:jc w:val="both"/>
        <w:rPr>
          <w:sz w:val="21"/>
          <w:szCs w:val="21"/>
        </w:rPr>
      </w:pPr>
      <w:r>
        <w:rPr>
          <w:sz w:val="21"/>
          <w:szCs w:val="21"/>
        </w:rPr>
        <w:t xml:space="preserve">8.5.1. A comprovação da qualificação té</w:t>
      </w:r>
      <w:r>
        <w:rPr>
          <w:sz w:val="21"/>
          <w:szCs w:val="21"/>
        </w:rPr>
        <w:t xml:space="preserve">cnica dos licitantes observará o disposto no item 4 – Requisitos da Contratação deste Termo de Referência, especialmente quanto à exigência de atestados de capacidade técnica compatíveis com o objeto, nos termos dos arts. 67, 69 e 70 da Lei nº 14.133/2021.</w:t>
      </w:r>
      <w:r>
        <w:rPr>
          <w:sz w:val="21"/>
          <w:szCs w:val="21"/>
        </w:rPr>
      </w:r>
    </w:p>
    <w:p w14:paraId="77402D42" w14:textId="77777777">
      <w:pPr>
        <w:pBdr/>
        <w:spacing w:line="360" w:lineRule="auto"/>
        <w:ind/>
        <w:jc w:val="both"/>
        <w:rPr>
          <w:sz w:val="21"/>
          <w:szCs w:val="21"/>
        </w:rPr>
      </w:pPr>
      <w:r>
        <w:rPr>
          <w:sz w:val="21"/>
          <w:szCs w:val="21"/>
        </w:rPr>
        <w:t xml:space="preserve">8.5.2. Além do atendimento ao requisito previsto no subitem anterior, a licitante deverá comprovar capacidade técnica mínima para execução do objeto, mediante:</w:t>
      </w:r>
      <w:r>
        <w:rPr>
          <w:sz w:val="21"/>
          <w:szCs w:val="21"/>
        </w:rPr>
      </w:r>
    </w:p>
    <w:p w14:paraId="741524D3" w14:textId="77777777">
      <w:pPr>
        <w:pBdr/>
        <w:spacing w:line="360" w:lineRule="auto"/>
        <w:ind/>
        <w:jc w:val="both"/>
        <w:rPr>
          <w:sz w:val="21"/>
          <w:szCs w:val="21"/>
        </w:rPr>
      </w:pPr>
      <w:r>
        <w:rPr>
          <w:sz w:val="21"/>
          <w:szCs w:val="21"/>
        </w:rPr>
        <w:t xml:space="preserve">a) Demonstração de que exerce atividade compatível com o objeto da contratação, conforme Cadastro Nacional de Pessoa Jurídica (CNAE) e contrato social atualizado; e</w:t>
      </w:r>
      <w:r>
        <w:rPr>
          <w:sz w:val="21"/>
          <w:szCs w:val="21"/>
        </w:rPr>
      </w:r>
    </w:p>
    <w:p w14:paraId="6A32A990" w14:textId="77777777">
      <w:pPr>
        <w:pBdr/>
        <w:spacing w:line="360" w:lineRule="auto"/>
        <w:ind/>
        <w:jc w:val="both"/>
        <w:rPr>
          <w:sz w:val="21"/>
          <w:szCs w:val="21"/>
        </w:rPr>
      </w:pPr>
      <w:r>
        <w:rPr>
          <w:sz w:val="21"/>
          <w:szCs w:val="21"/>
        </w:rPr>
        <w:t xml:space="preserve">b) Declaração do responsável legal de que possui condições materiais, técnicas e operacionais para atender às especificações, prazos e condições definidos neste Termo de Referência.</w:t>
      </w:r>
      <w:r>
        <w:rPr>
          <w:sz w:val="21"/>
          <w:szCs w:val="21"/>
        </w:rPr>
      </w:r>
    </w:p>
    <w:p w14:paraId="349FDD58" w14:textId="77777777">
      <w:pPr>
        <w:pBdr/>
        <w:spacing w:line="360" w:lineRule="auto"/>
        <w:ind/>
        <w:jc w:val="both"/>
        <w:rPr>
          <w:sz w:val="21"/>
          <w:szCs w:val="21"/>
        </w:rPr>
      </w:pPr>
      <w:r>
        <w:rPr>
          <w:sz w:val="21"/>
          <w:szCs w:val="21"/>
        </w:rPr>
        <w:t xml:space="preserve">8.6. Dos critérios de aceitabilidade da proposta</w:t>
      </w:r>
      <w:r>
        <w:rPr>
          <w:sz w:val="21"/>
          <w:szCs w:val="21"/>
        </w:rPr>
      </w:r>
    </w:p>
    <w:p w14:paraId="73FB3F40" w14:textId="77777777">
      <w:pPr>
        <w:pBdr/>
        <w:spacing w:line="360" w:lineRule="auto"/>
        <w:ind/>
        <w:jc w:val="both"/>
        <w:rPr>
          <w:sz w:val="21"/>
          <w:szCs w:val="21"/>
        </w:rPr>
      </w:pPr>
      <w:r>
        <w:rPr>
          <w:sz w:val="21"/>
          <w:szCs w:val="21"/>
        </w:rPr>
        <w:t xml:space="preserve">8.6.1. A proposta de preços deverá conter:</w:t>
      </w:r>
      <w:r>
        <w:rPr>
          <w:sz w:val="21"/>
          <w:szCs w:val="21"/>
        </w:rPr>
        <w:br/>
        <w:t xml:space="preserve">8.6.1.1. Razão social, número do CNPJ, endereço completo, telefone e endereço eletrônico do licitante;</w:t>
      </w:r>
      <w:r>
        <w:rPr>
          <w:sz w:val="21"/>
          <w:szCs w:val="21"/>
        </w:rPr>
        <w:br/>
        <w:t xml:space="preserve">8.6.1.2. Modalidade e número da licitação;</w:t>
      </w:r>
      <w:r>
        <w:rPr>
          <w:sz w:val="21"/>
          <w:szCs w:val="21"/>
        </w:rPr>
        <w:br/>
        <w:t xml:space="preserve">8.6.1.3. Especificação sucinta do objeto licitado;</w:t>
      </w:r>
      <w:r>
        <w:rPr>
          <w:sz w:val="21"/>
          <w:szCs w:val="21"/>
        </w:rPr>
        <w:br/>
        <w:t xml:space="preserve">8.6.1.4. Valor global do fornecimento, discriminando o valor unitário e o valor total;</w:t>
      </w:r>
      <w:r>
        <w:rPr>
          <w:sz w:val="21"/>
          <w:szCs w:val="21"/>
        </w:rPr>
        <w:br/>
        <w:t xml:space="preserve">8.6.1.4.1. O valor unitário deverá ser apresentado em moeda corrente nacional, com no máximo duas (02) casas decimais;</w:t>
      </w:r>
      <w:r>
        <w:rPr>
          <w:sz w:val="21"/>
          <w:szCs w:val="21"/>
        </w:rPr>
        <w:br/>
        <w:t xml:space="preserve">8.6.1.4.2. O valor global deverá ser apresentado em moeda corrente nacional, em algarismos e por extenso, co</w:t>
      </w:r>
      <w:r>
        <w:rPr>
          <w:sz w:val="21"/>
          <w:szCs w:val="21"/>
        </w:rPr>
        <w:t xml:space="preserve">m no máximo duas (02) casas decimais;</w:t>
      </w:r>
      <w:r>
        <w:rPr>
          <w:sz w:val="21"/>
          <w:szCs w:val="21"/>
        </w:rPr>
        <w:br/>
        <w:t xml:space="preserve">8.6.1.4.3. Quando a divisão do valor global pela quant</w:t>
      </w:r>
      <w:r>
        <w:rPr>
          <w:sz w:val="21"/>
          <w:szCs w:val="21"/>
        </w:rPr>
        <w:t xml:space="preserve">idade licitada resultar em valor com mais de duas casas decimais, o valor unitário deverá ser adequado ao limite de duas casas decimais. O valor global resultante dessa adequação deverá ser igual ou inferior ao valor originalmente proposto e/ou adjudicado;</w:t>
      </w:r>
      <w:r>
        <w:rPr>
          <w:sz w:val="21"/>
          <w:szCs w:val="21"/>
        </w:rPr>
        <w:br/>
        <w:t xml:space="preserve">8.6.1.5. Declaração de validade da proposta por 120 (cento e vinte) dias, contados da data de sua apresentação.</w:t>
      </w:r>
      <w:r>
        <w:rPr>
          <w:sz w:val="21"/>
          <w:szCs w:val="21"/>
        </w:rPr>
      </w:r>
    </w:p>
    <w:p w14:paraId="08B662A1" w14:textId="77777777">
      <w:pPr>
        <w:pBdr>
          <w:top w:val="single" w:color="000000" w:sz="4" w:space="0"/>
          <w:left w:val="single" w:color="000000" w:sz="4" w:space="0"/>
          <w:bottom w:val="single" w:color="000000" w:sz="4" w:space="0"/>
          <w:right w:val="single" w:color="000000" w:sz="4" w:space="0"/>
        </w:pBdr>
        <w:shd w:val="clear" w:color="auto" w:fill="bfbfbf" w:themeFill="background1" w:themeFillShade="BF"/>
        <w:tabs>
          <w:tab w:val="left" w:leader="none" w:pos="567"/>
        </w:tabs>
        <w:spacing/>
        <w:ind/>
        <w:jc w:val="center"/>
        <w:rPr>
          <w:b/>
          <w:bCs/>
        </w:rPr>
      </w:pPr>
      <w:r>
        <w:rPr>
          <w:b/>
          <w:bCs/>
        </w:rPr>
        <w:t xml:space="preserve">9. OBRIGAÇÃO DA CONTRATADA</w:t>
      </w:r>
      <w:r>
        <w:rPr>
          <w:b/>
          <w:bCs/>
        </w:rPr>
      </w:r>
    </w:p>
    <w:p w14:paraId="57F26F03" w14:textId="77777777">
      <w:pPr>
        <w:pStyle w:val="1043"/>
        <w:pBdr/>
        <w:spacing w:beforeAutospacing="0" w:line="360" w:lineRule="auto"/>
        <w:ind/>
        <w:jc w:val="both"/>
        <w:rPr/>
      </w:pPr>
      <w:r>
        <w:t xml:space="preserve">9.1. Obrigações Gerais</w:t>
      </w:r>
      <w:r/>
    </w:p>
    <w:p w14:paraId="0A99AC98" w14:textId="77777777">
      <w:pPr>
        <w:pStyle w:val="1043"/>
        <w:pBdr/>
        <w:spacing w:beforeAutospacing="0" w:line="360" w:lineRule="auto"/>
        <w:ind/>
        <w:jc w:val="both"/>
        <w:rPr/>
      </w:pPr>
      <w:r>
        <w:t xml:space="preserve">9.1.1. A Contratada deverá cumpr</w:t>
      </w:r>
      <w:r>
        <w:t xml:space="preserve">ir integralmente todas as obrigações previstas no Edital, neste Termo de Referência, em seus anexos e </w:t>
      </w:r>
      <w:r>
        <w:t xml:space="preserve">em sua proposta, assumindo como exclusivamente seus os riscos e as despesas decorrentes da boa e perfeita execução dos serviços funerários de translado e tanatopraxia, contratados por meio do Sistema de Registro de Preços, nos termos da Lei nº 14.133/2021.</w:t>
      </w:r>
      <w:r/>
    </w:p>
    <w:p w14:paraId="447F0947" w14:textId="77777777">
      <w:pPr>
        <w:pStyle w:val="1043"/>
        <w:pBdr/>
        <w:spacing w:beforeAutospacing="0" w:line="360" w:lineRule="auto"/>
        <w:ind/>
        <w:jc w:val="both"/>
        <w:rPr/>
      </w:pPr>
      <w:r>
        <w:t xml:space="preserve">9.1.2. Executar os serviços de translado funerário e tanatopraxia exclusivamente mediante ord</w:t>
      </w:r>
      <w:r>
        <w:t xml:space="preserve">em formal de serviço emitida pela Secretaria Municipal de Promoção e Assistência Social – SEMPAS, observando rigorosamente os prazos, as condições técnicas, as normas sanitárias, de saúde pública e demais exigências estabelecidas neste Termo de Referência.</w:t>
      </w:r>
      <w:r/>
    </w:p>
    <w:p w14:paraId="5893BC43" w14:textId="77777777">
      <w:pPr>
        <w:pStyle w:val="1043"/>
        <w:pBdr/>
        <w:spacing w:beforeAutospacing="0" w:line="360" w:lineRule="auto"/>
        <w:ind/>
        <w:jc w:val="both"/>
        <w:rPr/>
      </w:pPr>
      <w:r>
        <w:t xml:space="preserve">9.2. Obrigações Operacionais e Técnicas</w:t>
      </w:r>
      <w:r/>
    </w:p>
    <w:p w14:paraId="36AA3D84" w14:textId="77777777">
      <w:pPr>
        <w:pStyle w:val="1043"/>
        <w:pBdr/>
        <w:spacing w:beforeAutospacing="0" w:line="360" w:lineRule="auto"/>
        <w:ind/>
        <w:jc w:val="both"/>
        <w:rPr/>
      </w:pPr>
      <w:r>
        <w:t xml:space="preserve">9.2.1. R</w:t>
      </w:r>
      <w:r>
        <w:t xml:space="preserve">ealizar os serviços de translado funerário e tanatopraxia em estrita observância aos padrões técnicos, sanitários, éticos e legais vigentes, garantindo dignidade, respeito, segurança e adequada conservação do corpo em todas as etapas da execução do objeto.</w:t>
      </w:r>
      <w:r/>
    </w:p>
    <w:p w14:paraId="3C06CF5D" w14:textId="77777777">
      <w:pPr>
        <w:pStyle w:val="1043"/>
        <w:pBdr/>
        <w:spacing w:beforeAutospacing="0" w:line="360" w:lineRule="auto"/>
        <w:ind/>
        <w:jc w:val="both"/>
        <w:rPr/>
      </w:pPr>
      <w:r>
        <w:t xml:space="preserve">9.2.2. Iniciar o translado funerário no prazo estabelecido neste termo de referência, contado a partir do recebimento da ordem de serviço, assegurando atendimento compatível com a natureza emergencial da demanda.</w:t>
      </w:r>
      <w:r/>
    </w:p>
    <w:p w14:paraId="6C4DF787" w14:textId="77777777">
      <w:pPr>
        <w:pStyle w:val="1043"/>
        <w:pBdr/>
        <w:spacing w:beforeAutospacing="0" w:line="360" w:lineRule="auto"/>
        <w:ind/>
        <w:jc w:val="both"/>
        <w:rPr/>
      </w:pPr>
      <w:r>
        <w:t xml:space="preserve">9.2.3. Executar o procedimento de tanatopraxia no prazo máximo de 48 (quarenta e oito) horas após o recebimento da ordem de serviço, salvo impossibilidade técnica devidamente justificada e aceita pela fiscalização do contrato.</w:t>
      </w:r>
      <w:r/>
    </w:p>
    <w:p w14:paraId="061DE098" w14:textId="77777777">
      <w:pPr>
        <w:pStyle w:val="1043"/>
        <w:pBdr/>
        <w:spacing w:beforeAutospacing="0" w:line="360" w:lineRule="auto"/>
        <w:ind/>
        <w:jc w:val="both"/>
        <w:rPr/>
      </w:pPr>
      <w:r>
        <w:t xml:space="preserve">9</w:t>
      </w:r>
      <w:r>
        <w:t xml:space="preserve">.2.4. Utilizar, no procedimento de tanatopraxia, produtos que garantam eficácia mínima de conservação de 48 (quarenta e oito) horas no corpo, assegurando condições sanitárias adequadas até o sepultamento, em conformidade com a legislação sanitária vigente.</w:t>
      </w:r>
      <w:r/>
    </w:p>
    <w:p w14:paraId="433DE615" w14:textId="77777777">
      <w:pPr>
        <w:pStyle w:val="1043"/>
        <w:pBdr/>
        <w:spacing w:beforeAutospacing="0" w:line="360" w:lineRule="auto"/>
        <w:ind/>
        <w:jc w:val="both"/>
        <w:rPr/>
      </w:pPr>
      <w:r>
        <w:t xml:space="preserve">9.2.5. Disponibilizar equipe técnica devidamente qualificada, equipamentos adequados e veículos funerários apropriados e regularizados, responsabilizando-se integralmente pela segurança, qualidade e regularidade dos serviços prestados.</w:t>
      </w:r>
      <w:r/>
    </w:p>
    <w:p w14:paraId="38B09CAE" w14:textId="77777777">
      <w:pPr>
        <w:pStyle w:val="1043"/>
        <w:pBdr/>
        <w:spacing w:beforeAutospacing="0" w:line="360" w:lineRule="auto"/>
        <w:ind/>
        <w:jc w:val="both"/>
        <w:rPr/>
      </w:pPr>
      <w:r>
        <w:t xml:space="preserve">9.2.6. Manter equipe técnica e veícul</w:t>
      </w:r>
      <w:r>
        <w:t xml:space="preserve">os funerários disponíveis 24 (vinte e quatro) horas por dia, inclusive em finais de semana e feriados, durante toda a vigência do contrato, de modo a garantir atendimento imediato e compatível com a natureza essencial e emergencial dos serviços funerários.</w:t>
      </w:r>
      <w:r/>
    </w:p>
    <w:p w14:paraId="6A778C03" w14:textId="77777777">
      <w:pPr>
        <w:pStyle w:val="1043"/>
        <w:pBdr/>
        <w:spacing w:beforeAutospacing="0" w:line="360" w:lineRule="auto"/>
        <w:ind/>
        <w:jc w:val="both"/>
        <w:rPr/>
      </w:pPr>
      <w:r>
        <w:t xml:space="preserve">9.3. Responsabilidade por Danos e Regularidade</w:t>
      </w:r>
      <w:r/>
    </w:p>
    <w:p w14:paraId="07432FE7" w14:textId="77777777">
      <w:pPr>
        <w:pStyle w:val="1043"/>
        <w:pBdr/>
        <w:spacing w:beforeAutospacing="0" w:line="360" w:lineRule="auto"/>
        <w:ind/>
        <w:jc w:val="both"/>
        <w:rPr/>
      </w:pPr>
      <w:r>
        <w:t xml:space="preserve">9.3.1. Responsabi</w:t>
      </w:r>
      <w:r>
        <w:t xml:space="preserve">lizar-se integralmente por quaisquer danos causados à Administração ou a terceiros, decorrentes de culpa ou dolo na execução dos serviços, inclusive por falhas técnicas, descumprimento de prazos ou inobservância das normas sanitárias, legais e contratuais.</w:t>
      </w:r>
      <w:r/>
    </w:p>
    <w:p w14:paraId="3791581B" w14:textId="77777777">
      <w:pPr>
        <w:pStyle w:val="1043"/>
        <w:pBdr/>
        <w:spacing w:beforeAutospacing="0" w:line="360" w:lineRule="auto"/>
        <w:ind/>
        <w:jc w:val="both"/>
        <w:rPr/>
      </w:pPr>
      <w:r>
        <w:t xml:space="preserve">9.3.2. </w:t>
      </w:r>
      <w:r>
        <w:t xml:space="preserve">Manter, durante toda a execução contratual, em compatibilidade com as obrigações assumidas, todas as condições de habilitação jurídica, fiscal, trabalhista, previdenciária e técnica exigidas no processo licitatório, conforme disposto na Lei nº 14.133/2021.</w:t>
      </w:r>
      <w:r/>
    </w:p>
    <w:p w14:paraId="5DEDDD92" w14:textId="77777777">
      <w:pPr>
        <w:pStyle w:val="1043"/>
        <w:pBdr/>
        <w:spacing w:beforeAutospacing="0" w:line="360" w:lineRule="auto"/>
        <w:ind/>
        <w:jc w:val="both"/>
        <w:rPr/>
      </w:pPr>
      <w:r>
        <w:t xml:space="preserve">9.3.3. Não transferir a terceiros, por qualquer forma,</w:t>
      </w:r>
      <w:r>
        <w:t xml:space="preserve"> nem mesmo parcialmente, as obrigações assumidas, nem subcontratar qualquer das prestações a que esteja obrigada, salvo nas hipóteses expressamente autorizadas neste Termo de Referência ou na minuta contratual, nos termos do art. 122 da Lei nº 14.133/2021.</w:t>
      </w:r>
      <w:r/>
    </w:p>
    <w:p w14:paraId="095A1B1C" w14:textId="77777777">
      <w:pPr>
        <w:pStyle w:val="1043"/>
        <w:pBdr/>
        <w:spacing w:beforeAutospacing="0" w:line="360" w:lineRule="auto"/>
        <w:ind/>
        <w:jc w:val="both"/>
        <w:rPr/>
      </w:pPr>
      <w:r>
        <w:t xml:space="preserve">9.3.4. Não permitir a utilização de qualquer forma de trabalho do menor de dezesseis anos, exceto na condição de</w:t>
      </w:r>
      <w:r>
        <w:t xml:space="preserve"> aprendiz, a partir dos quatorze anos, nem permitir a utilização de trabalho do menor de dezoito anos em atividades noturnas, perigosas ou insalubres, em conformidade com o art. 7º, inciso XXXIII, da Constituição Federal e a legislação trabalhista vigente.</w:t>
      </w:r>
      <w:r/>
    </w:p>
    <w:p w14:paraId="60CEB851" w14:textId="77777777">
      <w:pPr>
        <w:pStyle w:val="1043"/>
        <w:pBdr/>
        <w:spacing w:beforeAutospacing="0" w:line="360" w:lineRule="auto"/>
        <w:ind/>
        <w:jc w:val="both"/>
        <w:rPr/>
      </w:pPr>
      <w:r>
        <w:t xml:space="preserve">9.4. Das Obrigações Financeiras e da Composição do Preço</w:t>
      </w:r>
      <w:r/>
    </w:p>
    <w:p w14:paraId="7581EFA3" w14:textId="77777777">
      <w:pPr>
        <w:pStyle w:val="1043"/>
        <w:pBdr/>
        <w:spacing w:beforeAutospacing="0" w:line="360" w:lineRule="auto"/>
        <w:ind/>
        <w:jc w:val="both"/>
        <w:rPr/>
      </w:pPr>
      <w:r>
        <w:t xml:space="preserve">9.4.1. A Contratada assumirá integral e exclusivamente todos os ônus, riscos e responsabilidades financeiras decorrentes da execução dos ser</w:t>
      </w:r>
      <w:r>
        <w:t xml:space="preserve">viços funerários de translado e tanatopraxia, incluindo o recolhimento de tributos federais, estaduais e municipais, encargos sociais, trabalhistas, previdenciários, fiscais e comerciais, não cabendo à Administração qualquer responsabilidade nesse sentido.</w:t>
      </w:r>
      <w:r/>
    </w:p>
    <w:p w14:paraId="14D335DB" w14:textId="77777777">
      <w:pPr>
        <w:pStyle w:val="1043"/>
        <w:pBdr/>
        <w:spacing w:beforeAutospacing="0" w:line="360" w:lineRule="auto"/>
        <w:ind/>
        <w:jc w:val="both"/>
        <w:rPr/>
      </w:pPr>
      <w:r>
        <w:t xml:space="preserve">9.4.2. Estão incluídos no preço registrado e contratado todos os custos diretos e indiretos necessários à execução integral do objeto, tais como mão de o</w:t>
      </w:r>
      <w:r>
        <w:t xml:space="preserve">bra, insumos, produtos utilizados na tanatopraxia, transporte, combustível, manutenção de veículos, seguros, taxa de administração e quaisquer outros encargos indispensáveis, sendo vedada a cobrança de valores adicionais à Administração, a qualquer título.</w:t>
      </w:r>
      <w:r/>
    </w:p>
    <w:p w14:paraId="05C5CCEE" w14:textId="77777777">
      <w:pPr>
        <w:pBdr>
          <w:top w:val="single" w:color="000000" w:sz="4" w:space="0"/>
          <w:left w:val="single" w:color="000000" w:sz="4" w:space="0"/>
          <w:bottom w:val="single" w:color="000000" w:sz="4" w:space="0"/>
          <w:right w:val="single" w:color="000000" w:sz="4" w:space="0"/>
        </w:pBdr>
        <w:shd w:val="clear" w:color="auto" w:fill="bfbfbf" w:themeFill="background1" w:themeFillShade="BF"/>
        <w:tabs>
          <w:tab w:val="left" w:leader="none" w:pos="567"/>
        </w:tabs>
        <w:spacing w:after="40"/>
        <w:ind/>
        <w:jc w:val="center"/>
        <w:rPr>
          <w:b/>
          <w:bCs/>
        </w:rPr>
      </w:pPr>
      <w:r>
        <w:rPr>
          <w:b/>
          <w:bCs/>
        </w:rPr>
        <w:t xml:space="preserve">10. OBRIGAÇÕES DA CONTRATANTE</w:t>
      </w:r>
      <w:r>
        <w:rPr>
          <w:b/>
          <w:bCs/>
        </w:rPr>
      </w:r>
    </w:p>
    <w:p w14:paraId="10538D0C" w14:textId="77777777">
      <w:pPr>
        <w:pBdr/>
        <w:tabs>
          <w:tab w:val="left" w:leader="none" w:pos="567"/>
        </w:tabs>
        <w:spacing w:line="360" w:lineRule="auto"/>
        <w:ind/>
        <w:jc w:val="both"/>
        <w:rPr>
          <w:sz w:val="21"/>
          <w:szCs w:val="21"/>
        </w:rPr>
      </w:pPr>
      <w:r>
        <w:rPr>
          <w:sz w:val="21"/>
          <w:szCs w:val="21"/>
        </w:rPr>
        <w:t xml:space="preserve">10.1. Obrigações Gerais</w:t>
      </w:r>
      <w:r>
        <w:rPr>
          <w:sz w:val="21"/>
          <w:szCs w:val="21"/>
        </w:rPr>
      </w:r>
    </w:p>
    <w:p w14:paraId="7056BCE1" w14:textId="77777777">
      <w:pPr>
        <w:pBdr/>
        <w:tabs>
          <w:tab w:val="left" w:leader="none" w:pos="567"/>
        </w:tabs>
        <w:spacing w:line="360" w:lineRule="auto"/>
        <w:ind/>
        <w:jc w:val="both"/>
        <w:rPr>
          <w:sz w:val="21"/>
          <w:szCs w:val="21"/>
        </w:rPr>
      </w:pPr>
      <w:r>
        <w:rPr>
          <w:sz w:val="21"/>
          <w:szCs w:val="21"/>
        </w:rPr>
        <w:t xml:space="preserve">10.1.1. Cumprir e fazer cumprir as disposições constantes no Edital, neste Termo de Referência, em seus anexos e na Ata de Registro de Preços, bem como na legislação aplicável, especialmente a Lei nº 14.133/2021.</w:t>
      </w:r>
      <w:r>
        <w:rPr>
          <w:sz w:val="21"/>
          <w:szCs w:val="21"/>
        </w:rPr>
      </w:r>
    </w:p>
    <w:p w14:paraId="4A98F46E" w14:textId="77777777">
      <w:pPr>
        <w:pBdr/>
        <w:tabs>
          <w:tab w:val="left" w:leader="none" w:pos="567"/>
        </w:tabs>
        <w:spacing w:line="360" w:lineRule="auto"/>
        <w:ind/>
        <w:jc w:val="both"/>
        <w:rPr>
          <w:sz w:val="21"/>
          <w:szCs w:val="21"/>
        </w:rPr>
      </w:pPr>
      <w:r>
        <w:rPr>
          <w:sz w:val="21"/>
          <w:szCs w:val="21"/>
        </w:rPr>
        <w:t xml:space="preserve">10.1.2. Emitir, </w:t>
      </w:r>
      <w:r>
        <w:rPr>
          <w:sz w:val="21"/>
          <w:szCs w:val="21"/>
        </w:rPr>
        <w:t xml:space="preserve">por meio da Secretaria Municipal de Promoção e Assistência Social – SEMPAS, as ordens formais de serviço necessárias à execução dos serviços funerários de translado e tanatopraxia, de acordo com as demandas identificadas e com os quantitativos registrados.</w:t>
      </w:r>
      <w:r>
        <w:rPr>
          <w:sz w:val="21"/>
          <w:szCs w:val="21"/>
        </w:rPr>
      </w:r>
    </w:p>
    <w:p w14:paraId="68E600FE" w14:textId="77777777">
      <w:pPr>
        <w:pBdr/>
        <w:tabs>
          <w:tab w:val="left" w:leader="none" w:pos="567"/>
        </w:tabs>
        <w:spacing w:line="360" w:lineRule="auto"/>
        <w:ind/>
        <w:jc w:val="both"/>
        <w:rPr>
          <w:sz w:val="21"/>
          <w:szCs w:val="21"/>
        </w:rPr>
      </w:pPr>
      <w:r>
        <w:rPr>
          <w:sz w:val="21"/>
          <w:szCs w:val="21"/>
        </w:rPr>
        <w:t xml:space="preserve">10.2. Acompanhamento, Fiscalização e Recebimento dos Serviços</w:t>
      </w:r>
      <w:r>
        <w:rPr>
          <w:sz w:val="21"/>
          <w:szCs w:val="21"/>
        </w:rPr>
      </w:r>
    </w:p>
    <w:p w14:paraId="5AC0F2BA" w14:textId="77777777">
      <w:pPr>
        <w:pBdr/>
        <w:tabs>
          <w:tab w:val="left" w:leader="none" w:pos="567"/>
        </w:tabs>
        <w:spacing w:line="360" w:lineRule="auto"/>
        <w:ind/>
        <w:jc w:val="both"/>
        <w:rPr>
          <w:sz w:val="21"/>
          <w:szCs w:val="21"/>
        </w:rPr>
      </w:pPr>
      <w:r>
        <w:rPr>
          <w:sz w:val="21"/>
          <w:szCs w:val="21"/>
        </w:rPr>
        <w:t xml:space="preserve">10.2.1. Acompanhar e fisc</w:t>
      </w:r>
      <w:r>
        <w:rPr>
          <w:sz w:val="21"/>
          <w:szCs w:val="21"/>
        </w:rPr>
        <w:t xml:space="preserve">alizar a execução dos serviços, por meio de servidor ou comissão formalmente designada, nos termos do art. 117 da Lei nº 14.133/2021, verificando o cumprimento das obrigações contratuais, dos prazos, das condições técnicas e das normas sanitárias e legais.</w:t>
      </w:r>
      <w:r>
        <w:rPr>
          <w:sz w:val="21"/>
          <w:szCs w:val="21"/>
        </w:rPr>
      </w:r>
    </w:p>
    <w:p w14:paraId="372CBD56" w14:textId="77777777">
      <w:pPr>
        <w:pBdr/>
        <w:tabs>
          <w:tab w:val="left" w:leader="none" w:pos="567"/>
        </w:tabs>
        <w:spacing w:line="360" w:lineRule="auto"/>
        <w:ind/>
        <w:jc w:val="both"/>
        <w:rPr>
          <w:sz w:val="21"/>
          <w:szCs w:val="21"/>
        </w:rPr>
      </w:pPr>
      <w:r>
        <w:rPr>
          <w:sz w:val="21"/>
          <w:szCs w:val="21"/>
        </w:rPr>
        <w:t xml:space="preserve">10.2.2. Receber os serviços prestados </w:t>
      </w:r>
      <w:r>
        <w:rPr>
          <w:sz w:val="21"/>
          <w:szCs w:val="21"/>
        </w:rPr>
        <w:t xml:space="preserve">nas condições e prazos estabelecidos neste Termo de Referência, no edital e em seus anexos, procedendo à verificação da conformidade da execução para fins de aceite provisório e definitivo, conforme disposto nos arts. 140 e seguintes da Lei nº 14.133/2021.</w:t>
      </w:r>
      <w:r>
        <w:rPr>
          <w:sz w:val="21"/>
          <w:szCs w:val="21"/>
        </w:rPr>
      </w:r>
    </w:p>
    <w:p w14:paraId="4A685812" w14:textId="77777777">
      <w:pPr>
        <w:pBdr/>
        <w:tabs>
          <w:tab w:val="left" w:leader="none" w:pos="567"/>
        </w:tabs>
        <w:spacing w:line="360" w:lineRule="auto"/>
        <w:ind/>
        <w:jc w:val="both"/>
        <w:rPr>
          <w:sz w:val="21"/>
          <w:szCs w:val="21"/>
        </w:rPr>
      </w:pPr>
      <w:r>
        <w:rPr>
          <w:sz w:val="21"/>
          <w:szCs w:val="21"/>
        </w:rPr>
        <w:t xml:space="preserve">10.2.3. Comunicar form</w:t>
      </w:r>
      <w:r>
        <w:rPr>
          <w:sz w:val="21"/>
          <w:szCs w:val="21"/>
        </w:rPr>
        <w:t xml:space="preserve">almente à Contratada a ocorrência de imperfeições, falhas, irregularidades ou descumprimento contratual verificados na execução dos serviços, fixando prazo para a adoção das providências corretivas cabíveis, sem prejuízo da aplicação das sanções previstas.</w:t>
      </w:r>
      <w:r>
        <w:rPr>
          <w:sz w:val="21"/>
          <w:szCs w:val="21"/>
        </w:rPr>
      </w:r>
    </w:p>
    <w:p w14:paraId="20077D7D" w14:textId="77777777">
      <w:pPr>
        <w:pBdr/>
        <w:tabs>
          <w:tab w:val="left" w:leader="none" w:pos="567"/>
        </w:tabs>
        <w:spacing w:line="360" w:lineRule="auto"/>
        <w:ind/>
        <w:jc w:val="both"/>
        <w:rPr>
          <w:sz w:val="21"/>
          <w:szCs w:val="21"/>
        </w:rPr>
      </w:pPr>
      <w:r>
        <w:rPr>
          <w:sz w:val="21"/>
          <w:szCs w:val="21"/>
        </w:rPr>
        <w:t xml:space="preserve">10.2.4. Rejeitar, no todo ou em parte, os serviços executados em desacordo com as especificações técnicas, prazos ou condições estabelecidas neste Termo de Referência, exigindo sua regularização, quando cabível.</w:t>
      </w:r>
      <w:r>
        <w:rPr>
          <w:sz w:val="21"/>
          <w:szCs w:val="21"/>
        </w:rPr>
      </w:r>
    </w:p>
    <w:p w14:paraId="5A65DACF" w14:textId="77777777">
      <w:pPr>
        <w:pBdr/>
        <w:tabs>
          <w:tab w:val="left" w:leader="none" w:pos="567"/>
        </w:tabs>
        <w:spacing w:line="360" w:lineRule="auto"/>
        <w:ind/>
        <w:jc w:val="both"/>
        <w:rPr>
          <w:sz w:val="21"/>
          <w:szCs w:val="21"/>
        </w:rPr>
      </w:pPr>
      <w:r>
        <w:rPr>
          <w:sz w:val="21"/>
          <w:szCs w:val="21"/>
        </w:rPr>
        <w:t xml:space="preserve">10.3. Obrigações Administrativas e Financeiras</w:t>
      </w:r>
      <w:r>
        <w:rPr>
          <w:sz w:val="21"/>
          <w:szCs w:val="21"/>
        </w:rPr>
      </w:r>
    </w:p>
    <w:p w14:paraId="10880C19" w14:textId="77777777">
      <w:pPr>
        <w:pBdr/>
        <w:tabs>
          <w:tab w:val="left" w:leader="none" w:pos="567"/>
        </w:tabs>
        <w:spacing w:line="360" w:lineRule="auto"/>
        <w:ind/>
        <w:jc w:val="both"/>
        <w:rPr>
          <w:sz w:val="21"/>
          <w:szCs w:val="21"/>
        </w:rPr>
      </w:pPr>
      <w:r>
        <w:rPr>
          <w:sz w:val="21"/>
          <w:szCs w:val="21"/>
        </w:rPr>
        <w:t xml:space="preserve">10.3.1. Prestar à Contratada todas as informações e esclarecimentos necessários à adequada execução dos serviços, sempre que solicitados e desde que pertinentes ao objeto contratado.</w:t>
      </w:r>
      <w:r>
        <w:rPr>
          <w:sz w:val="21"/>
          <w:szCs w:val="21"/>
        </w:rPr>
      </w:r>
    </w:p>
    <w:p w14:paraId="4E44C6D7" w14:textId="77777777">
      <w:pPr>
        <w:pBdr/>
        <w:tabs>
          <w:tab w:val="left" w:leader="none" w:pos="567"/>
        </w:tabs>
        <w:spacing w:line="360" w:lineRule="auto"/>
        <w:ind/>
        <w:jc w:val="both"/>
        <w:rPr>
          <w:sz w:val="21"/>
          <w:szCs w:val="21"/>
        </w:rPr>
      </w:pPr>
      <w:r>
        <w:rPr>
          <w:sz w:val="21"/>
          <w:szCs w:val="21"/>
        </w:rPr>
        <w:t xml:space="preserve">10.3.2. Proporcionar as condições administrativas indispensáveis para que a Contratada possa cumprir regularmente suas obrigações contratuais, respeitados os limites legais e contratuais.</w:t>
      </w:r>
      <w:r>
        <w:rPr>
          <w:sz w:val="21"/>
          <w:szCs w:val="21"/>
        </w:rPr>
      </w:r>
    </w:p>
    <w:p w14:paraId="3F8D02F1" w14:textId="77777777">
      <w:pPr>
        <w:pBdr/>
        <w:tabs>
          <w:tab w:val="left" w:leader="none" w:pos="567"/>
        </w:tabs>
        <w:spacing w:line="360" w:lineRule="auto"/>
        <w:ind/>
        <w:jc w:val="both"/>
        <w:rPr>
          <w:sz w:val="21"/>
          <w:szCs w:val="21"/>
        </w:rPr>
      </w:pPr>
      <w:r>
        <w:rPr>
          <w:sz w:val="21"/>
          <w:szCs w:val="21"/>
        </w:rPr>
        <w:t xml:space="preserve">10.3.3</w:t>
      </w:r>
      <w:r>
        <w:rPr>
          <w:sz w:val="21"/>
          <w:szCs w:val="21"/>
        </w:rPr>
        <w:t xml:space="preserve">. Efetuar o pagamento à Contratada pelos serviços efetivamente prestados, aceitos e atestados pela fiscalização, no prazo e na forma estabelecidos no edital, na Ata de Registro de Preços e no contrato, observada a disponibilidade orçamentária e financeira.</w:t>
      </w:r>
      <w:r>
        <w:rPr>
          <w:sz w:val="21"/>
          <w:szCs w:val="21"/>
        </w:rPr>
      </w:r>
    </w:p>
    <w:p w14:paraId="1FB6B36A" w14:textId="77777777">
      <w:pPr>
        <w:pBdr/>
        <w:tabs>
          <w:tab w:val="left" w:leader="none" w:pos="567"/>
        </w:tabs>
        <w:spacing w:line="360" w:lineRule="auto"/>
        <w:ind/>
        <w:jc w:val="both"/>
        <w:rPr>
          <w:sz w:val="21"/>
          <w:szCs w:val="21"/>
        </w:rPr>
      </w:pPr>
      <w:r>
        <w:rPr>
          <w:sz w:val="21"/>
          <w:szCs w:val="21"/>
        </w:rPr>
        <w:t xml:space="preserve">10.4. Limitação de Responsabilidade da Administração</w:t>
      </w:r>
      <w:r>
        <w:rPr>
          <w:sz w:val="21"/>
          <w:szCs w:val="21"/>
        </w:rPr>
      </w:r>
    </w:p>
    <w:p w14:paraId="3F0DB782" w14:textId="77777777">
      <w:pPr>
        <w:pBdr/>
        <w:tabs>
          <w:tab w:val="left" w:leader="none" w:pos="567"/>
        </w:tabs>
        <w:spacing w:line="360" w:lineRule="auto"/>
        <w:ind/>
        <w:jc w:val="both"/>
        <w:rPr>
          <w:sz w:val="24"/>
          <w:szCs w:val="24"/>
        </w:rPr>
      </w:pPr>
      <w:r>
        <w:rPr>
          <w:sz w:val="21"/>
          <w:szCs w:val="21"/>
        </w:rPr>
        <w:t xml:space="preserve">10.4.1. A Administração não responderá por quaisquer compro</w:t>
      </w:r>
      <w:r>
        <w:rPr>
          <w:sz w:val="21"/>
          <w:szCs w:val="21"/>
        </w:rPr>
        <w:t xml:space="preserve">missos assumidos pela Contratada com terceiros, ainda que vinculados à execução do contrato, nem por danos causados a terceiros em decorrência de atos praticados pela Contratada, seus empregados, prepostos ou subordinados, nos termos da legislação vigente.</w:t>
      </w:r>
      <w:r>
        <w:rPr>
          <w:sz w:val="24"/>
          <w:szCs w:val="24"/>
        </w:rPr>
      </w:r>
    </w:p>
    <w:p w14:paraId="0C45D371" w14:textId="77777777">
      <w:pPr>
        <w:pBdr>
          <w:top w:val="single" w:color="000000" w:sz="4" w:space="0"/>
          <w:left w:val="single" w:color="000000" w:sz="4" w:space="0"/>
          <w:bottom w:val="single" w:color="000000" w:sz="4" w:space="0"/>
          <w:right w:val="single" w:color="000000" w:sz="4" w:space="0"/>
        </w:pBdr>
        <w:shd w:val="clear" w:color="auto" w:fill="cccccc"/>
        <w:spacing w:line="276" w:lineRule="auto"/>
        <w:ind/>
        <w:jc w:val="center"/>
        <w:rPr>
          <w:b/>
          <w:bCs/>
        </w:rPr>
      </w:pPr>
      <w:r>
        <w:rPr>
          <w:b/>
          <w:bCs/>
        </w:rPr>
        <w:t xml:space="preserve">11- DAS SANÇÕES ADMINISTRATIVAS</w:t>
      </w:r>
      <w:r>
        <w:rPr>
          <w:b/>
          <w:bCs/>
        </w:rPr>
      </w:r>
    </w:p>
    <w:p w14:paraId="6DCD4807" w14:textId="77777777">
      <w:pPr>
        <w:pBdr/>
        <w:spacing w:line="360" w:lineRule="auto"/>
        <w:ind/>
        <w:jc w:val="both"/>
        <w:rPr>
          <w:sz w:val="21"/>
          <w:szCs w:val="21"/>
        </w:rPr>
      </w:pPr>
      <w:r>
        <w:rPr>
          <w:sz w:val="21"/>
          <w:szCs w:val="21"/>
        </w:rPr>
        <w:t xml:space="preserve">11.1. O descumprimento total ou parcial das obrigações assumidas pela Contratada, bem como a inexecução injustificada, atraso na execução, execução irregular ou qualquer conduta que viole as disposiçõ</w:t>
      </w:r>
      <w:r>
        <w:rPr>
          <w:sz w:val="21"/>
          <w:szCs w:val="21"/>
        </w:rPr>
        <w:t xml:space="preserve">es deste Termo de Referência, do edital, da Ata de Registro de Preços ou da legislação aplicável, sujeitará a Contratada às sanções administrativas previstas nos arts. 155 a 163 da Lei nº 14.133/2021, sem prejuízo da responsabilidade civil e penal cabível.</w:t>
      </w:r>
      <w:r>
        <w:rPr>
          <w:sz w:val="21"/>
          <w:szCs w:val="21"/>
        </w:rPr>
      </w:r>
    </w:p>
    <w:p w14:paraId="7751144C" w14:textId="77777777">
      <w:pPr>
        <w:pBdr/>
        <w:spacing w:line="360" w:lineRule="auto"/>
        <w:ind/>
        <w:jc w:val="both"/>
        <w:rPr>
          <w:sz w:val="21"/>
          <w:szCs w:val="21"/>
        </w:rPr>
      </w:pPr>
      <w:r>
        <w:rPr>
          <w:sz w:val="21"/>
          <w:szCs w:val="21"/>
        </w:rPr>
        <w:t xml:space="preserve">11.2. As sanções administrativas poderão ser aplicadas de forma isolada ou cumulativa, conforme a gravidade da infração, assegurados o contraditório e a ampla defesa, consistindo em:</w:t>
      </w:r>
      <w:r>
        <w:rPr>
          <w:sz w:val="21"/>
          <w:szCs w:val="21"/>
        </w:rPr>
      </w:r>
    </w:p>
    <w:p w14:paraId="7C84AD34" w14:textId="77777777">
      <w:pPr>
        <w:pBdr/>
        <w:spacing w:line="360" w:lineRule="auto"/>
        <w:ind/>
        <w:jc w:val="both"/>
        <w:rPr>
          <w:sz w:val="21"/>
          <w:szCs w:val="21"/>
        </w:rPr>
      </w:pPr>
      <w:r>
        <w:rPr>
          <w:sz w:val="21"/>
          <w:szCs w:val="21"/>
        </w:rPr>
        <w:t xml:space="preserve">I – Advertência, quando a infração for de menor gravidade e não causar prejuízo relevante à Administração;</w:t>
      </w:r>
      <w:r>
        <w:rPr>
          <w:sz w:val="21"/>
          <w:szCs w:val="21"/>
        </w:rPr>
      </w:r>
    </w:p>
    <w:p w14:paraId="08F59F00" w14:textId="77777777">
      <w:pPr>
        <w:pBdr/>
        <w:spacing w:line="360" w:lineRule="auto"/>
        <w:ind/>
        <w:jc w:val="both"/>
        <w:rPr>
          <w:sz w:val="21"/>
          <w:szCs w:val="21"/>
        </w:rPr>
      </w:pPr>
      <w:r>
        <w:rPr>
          <w:sz w:val="21"/>
          <w:szCs w:val="21"/>
        </w:rPr>
        <w:t xml:space="preserve">II – Multa, aplicada na forma, percentuais e critérios estabelecidos no edital ou na Ata de Registro de Preços, proporcional à gravidade da infração, ao dano causado à Administração e à reincidência;</w:t>
      </w:r>
      <w:r>
        <w:rPr>
          <w:sz w:val="21"/>
          <w:szCs w:val="21"/>
        </w:rPr>
      </w:r>
    </w:p>
    <w:p w14:paraId="51E18742" w14:textId="77777777">
      <w:pPr>
        <w:pBdr/>
        <w:spacing w:line="360" w:lineRule="auto"/>
        <w:ind/>
        <w:jc w:val="both"/>
        <w:rPr>
          <w:sz w:val="21"/>
          <w:szCs w:val="21"/>
        </w:rPr>
      </w:pPr>
      <w:r>
        <w:rPr>
          <w:sz w:val="21"/>
          <w:szCs w:val="21"/>
        </w:rPr>
        <w:t xml:space="preserve">III – Impedimento de licitar e contratar com a Administração Pública municipal, pelo prazo de até 3 (três) anos, nos termos do art. 156, inciso III, da Lei nº 14.133/2021;</w:t>
      </w:r>
      <w:r>
        <w:rPr>
          <w:sz w:val="21"/>
          <w:szCs w:val="21"/>
        </w:rPr>
      </w:r>
    </w:p>
    <w:p w14:paraId="540EDB06" w14:textId="77777777">
      <w:pPr>
        <w:pBdr/>
        <w:spacing w:line="360" w:lineRule="auto"/>
        <w:ind/>
        <w:jc w:val="both"/>
        <w:rPr>
          <w:sz w:val="21"/>
          <w:szCs w:val="21"/>
        </w:rPr>
      </w:pPr>
      <w:r>
        <w:rPr>
          <w:sz w:val="21"/>
          <w:szCs w:val="21"/>
        </w:rPr>
        <w:t xml:space="preserve">IV – Declaração de inidoneidade para licitar ou contratar com a Administração Pública, enquanto perdurarem os motivos determinantes da punição ou até que seja promovida a reabilitação, conforme disposto no art. 156, inciso IV, da Lei nº 14.133/2021.</w:t>
      </w:r>
      <w:r>
        <w:rPr>
          <w:sz w:val="21"/>
          <w:szCs w:val="21"/>
        </w:rPr>
      </w:r>
    </w:p>
    <w:p w14:paraId="58F54C2C" w14:textId="77777777">
      <w:pPr>
        <w:pBdr/>
        <w:spacing w:line="360" w:lineRule="auto"/>
        <w:ind/>
        <w:jc w:val="both"/>
        <w:rPr>
          <w:sz w:val="21"/>
          <w:szCs w:val="21"/>
        </w:rPr>
      </w:pPr>
      <w:r>
        <w:rPr>
          <w:sz w:val="21"/>
          <w:szCs w:val="21"/>
        </w:rPr>
        <w:t xml:space="preserve">11.3. A aplicação das sanções observará, obrigatoriamente</w:t>
      </w:r>
      <w:r>
        <w:rPr>
          <w:sz w:val="21"/>
          <w:szCs w:val="21"/>
        </w:rPr>
        <w:t xml:space="preserve">, os critérios de proporcionalidade, razoabilidade, natureza e gravidade da infração, extensão do dano causado, vantagem auferida, reincidência e comportamento da Contratada durante a execução contratual, nos termos do art. 156, §1º, da Lei nº 14.133/2021.</w:t>
      </w:r>
      <w:r>
        <w:rPr>
          <w:sz w:val="21"/>
          <w:szCs w:val="21"/>
        </w:rPr>
      </w:r>
    </w:p>
    <w:p w14:paraId="55780967" w14:textId="77777777">
      <w:pPr>
        <w:pBdr/>
        <w:spacing w:line="360" w:lineRule="auto"/>
        <w:ind/>
        <w:jc w:val="both"/>
        <w:rPr>
          <w:sz w:val="21"/>
          <w:szCs w:val="21"/>
        </w:rPr>
      </w:pPr>
      <w:r>
        <w:rPr>
          <w:sz w:val="21"/>
          <w:szCs w:val="21"/>
        </w:rPr>
        <w:t xml:space="preserve">11.4. As multas aplicadas poderão ser descontadas dos pagamentos devidos à Contratada ou cobradas judicialmente, quando necessário, sem prejuízo das demais sanções cabíveis.</w:t>
      </w:r>
      <w:r>
        <w:rPr>
          <w:sz w:val="21"/>
          <w:szCs w:val="21"/>
        </w:rPr>
      </w:r>
    </w:p>
    <w:p w14:paraId="790D90F4" w14:textId="77777777">
      <w:pPr>
        <w:pBdr/>
        <w:spacing w:line="360" w:lineRule="auto"/>
        <w:ind/>
        <w:jc w:val="both"/>
        <w:rPr>
          <w:sz w:val="21"/>
          <w:szCs w:val="21"/>
        </w:rPr>
      </w:pPr>
      <w:r>
        <w:rPr>
          <w:sz w:val="21"/>
          <w:szCs w:val="21"/>
        </w:rPr>
        <w:t xml:space="preserve">11.5. As sanções de impedimento de licitar e contratar e de declaração de inidoneidade serão registradas nos cadastros oficiais pertinentes, conforme previsto na legislação vigente.</w:t>
      </w:r>
      <w:r>
        <w:rPr>
          <w:sz w:val="21"/>
          <w:szCs w:val="21"/>
        </w:rPr>
      </w:r>
    </w:p>
    <w:p w14:paraId="187EC6FF" w14:textId="77777777">
      <w:pPr>
        <w:pBdr/>
        <w:spacing w:line="360" w:lineRule="auto"/>
        <w:ind/>
        <w:jc w:val="both"/>
        <w:rPr>
          <w:sz w:val="21"/>
          <w:szCs w:val="21"/>
        </w:rPr>
      </w:pPr>
      <w:r>
        <w:rPr>
          <w:sz w:val="21"/>
          <w:szCs w:val="21"/>
        </w:rPr>
        <w:t xml:space="preserve">11.6. A aplicação de qualquer sanção não exime a Contratada da obrigação de reparar integralmente os danos causados à Administração ou a terceiros, decorrentes da execução dos serviços funerários de translado e tanatopraxia.</w:t>
      </w:r>
      <w:r>
        <w:rPr>
          <w:sz w:val="21"/>
          <w:szCs w:val="21"/>
        </w:rPr>
      </w:r>
    </w:p>
    <w:p w14:paraId="52A4DCE8" w14:textId="77777777">
      <w:pPr>
        <w:pBdr>
          <w:top w:val="single" w:color="000000" w:sz="4" w:space="0"/>
          <w:left w:val="single" w:color="000000" w:sz="4" w:space="0"/>
          <w:bottom w:val="single" w:color="000000" w:sz="4" w:space="0"/>
          <w:right w:val="single" w:color="000000" w:sz="4" w:space="0"/>
        </w:pBdr>
        <w:shd w:val="clear" w:color="auto" w:fill="d8d8d8" w:themeFill="background1" w:themeFillShade="D8"/>
        <w:spacing/>
        <w:ind/>
        <w:jc w:val="center"/>
        <w:rPr>
          <w:b/>
          <w:bCs/>
        </w:rPr>
      </w:pPr>
      <w:r>
        <w:rPr>
          <w:b/>
          <w:bCs/>
        </w:rPr>
        <w:t xml:space="preserve">12- ESTIMATIVAS DO VALOR DA CONTRATAÇÃO</w:t>
      </w:r>
      <w:r>
        <w:rPr>
          <w:b/>
          <w:bCs/>
        </w:rPr>
      </w:r>
    </w:p>
    <w:p w14:paraId="19BB99EF" w14:textId="77777777">
      <w:pPr>
        <w:pBdr/>
        <w:spacing w:line="360" w:lineRule="auto"/>
        <w:ind/>
        <w:jc w:val="both"/>
        <w:rPr>
          <w:sz w:val="21"/>
          <w:szCs w:val="21"/>
        </w:rPr>
      </w:pPr>
      <w:r>
        <w:rPr>
          <w:sz w:val="21"/>
          <w:szCs w:val="21"/>
        </w:rPr>
        <w:t xml:space="preserve">12.1 A estimativa de preços para a presente contratação foi elaborada com base</w:t>
      </w:r>
      <w:r>
        <w:rPr>
          <w:sz w:val="21"/>
          <w:szCs w:val="21"/>
        </w:rPr>
        <w:t xml:space="preserve"> em pesquisa de mercado, mediante a utilização de cotação pública, bem como de fontes oficiais e reconhecidas, tais como o Painel de Preços e o Radar do Tribunal de Contas (Radar TCE), em conformidade com o disposto no §1º do art. 23 da Lei nº 14.133/2021.</w:t>
      </w:r>
      <w:r>
        <w:rPr>
          <w:sz w:val="21"/>
          <w:szCs w:val="21"/>
        </w:rPr>
      </w:r>
    </w:p>
    <w:p w14:paraId="4D0D1DA5" w14:textId="77777777">
      <w:pPr>
        <w:pBdr/>
        <w:spacing w:line="360" w:lineRule="auto"/>
        <w:ind/>
        <w:jc w:val="both"/>
        <w:rPr>
          <w:b/>
          <w:bCs/>
          <w:sz w:val="21"/>
          <w:szCs w:val="21"/>
        </w:rPr>
      </w:pPr>
      <w:r>
        <w:rPr>
          <w:sz w:val="21"/>
          <w:szCs w:val="21"/>
        </w:rPr>
        <w:t xml:space="preserve">12.2</w:t>
      </w:r>
      <w:r>
        <w:rPr>
          <w:b/>
          <w:bCs/>
          <w:sz w:val="21"/>
          <w:szCs w:val="21"/>
        </w:rPr>
        <w:t xml:space="preserve">.</w:t>
      </w:r>
      <w:r>
        <w:rPr>
          <w:sz w:val="21"/>
          <w:szCs w:val="21"/>
        </w:rPr>
        <w:t xml:space="preserve">O custo estimado total da contratação é </w:t>
      </w:r>
      <w:r>
        <w:rPr>
          <w:b/>
          <w:bCs/>
          <w:sz w:val="21"/>
          <w:szCs w:val="21"/>
        </w:rPr>
        <w:t xml:space="preserve">de R$ 860.678,86  (Oitocentos e sessenta mil, seiscentos e setenta e oito reais e oitenta e seis centavos.), conforme custos unitários apostos na tabela do item 1.1. </w:t>
      </w:r>
      <w:r>
        <w:rPr>
          <w:b/>
          <w:bCs/>
          <w:sz w:val="21"/>
          <w:szCs w:val="21"/>
        </w:rPr>
      </w:r>
    </w:p>
    <w:p w14:paraId="0B372926" w14:textId="77777777">
      <w:pPr>
        <w:pBdr/>
        <w:spacing w:line="360" w:lineRule="auto"/>
        <w:ind/>
        <w:jc w:val="both"/>
        <w:rPr>
          <w:sz w:val="21"/>
          <w:szCs w:val="21"/>
        </w:rPr>
      </w:pPr>
      <w:r>
        <w:rPr>
          <w:sz w:val="21"/>
          <w:szCs w:val="21"/>
        </w:rPr>
        <w:t xml:space="preserve">12.3. Por se tratar de registro de preços, o valor indicado representa uma estimativa orçamentária, não configurando compromisso de aquisição total por parte da Administração, nos termos do §4º do art. 82 da Lei nº 14.133/2021.</w:t>
      </w:r>
      <w:r>
        <w:rPr>
          <w:sz w:val="21"/>
          <w:szCs w:val="21"/>
        </w:rPr>
      </w:r>
    </w:p>
    <w:p w14:paraId="5E3240FD" w14:textId="77777777">
      <w:pPr>
        <w:pBdr/>
        <w:spacing w:line="360" w:lineRule="auto"/>
        <w:ind/>
        <w:jc w:val="both"/>
        <w:rPr>
          <w:sz w:val="21"/>
          <w:szCs w:val="21"/>
        </w:rPr>
      </w:pPr>
      <w:r>
        <w:rPr>
          <w:sz w:val="21"/>
          <w:szCs w:val="21"/>
        </w:rPr>
        <w:t xml:space="preserve">12.4. A estimativa também observa os critérios de razoabilidade, vantajosidade e adequação ao preço praticado no mercado, visando assegurar a seleção da proposta mais vantajosa para a Administração Pública.</w:t>
      </w:r>
      <w:r>
        <w:rPr>
          <w:sz w:val="21"/>
          <w:szCs w:val="21"/>
        </w:rPr>
      </w:r>
    </w:p>
    <w:p w14:paraId="48F40DDD" w14:textId="77777777">
      <w:pPr>
        <w:pBdr>
          <w:top w:val="single" w:color="000000" w:sz="4" w:space="0"/>
          <w:left w:val="single" w:color="000000" w:sz="4" w:space="0"/>
          <w:bottom w:val="single" w:color="000000" w:sz="4" w:space="0"/>
          <w:right w:val="single" w:color="000000" w:sz="4" w:space="0"/>
        </w:pBdr>
        <w:shd w:val="clear" w:color="auto" w:fill="d8d8d8" w:themeFill="background1" w:themeFillShade="D8"/>
        <w:spacing w:line="360" w:lineRule="auto"/>
        <w:ind/>
        <w:jc w:val="center"/>
        <w:rPr>
          <w:b/>
          <w:bCs/>
        </w:rPr>
      </w:pPr>
      <w:r>
        <w:rPr>
          <w:b/>
          <w:bCs/>
        </w:rPr>
        <w:t xml:space="preserve">13- ADEQUAÇÃO ORÇAMENTÁRIA</w:t>
      </w:r>
      <w:r>
        <w:rPr>
          <w:b/>
          <w:bCs/>
        </w:rPr>
      </w:r>
    </w:p>
    <w:p w14:paraId="55C4BCF6" w14:textId="77777777">
      <w:pPr>
        <w:pStyle w:val="1068"/>
        <w:pBdr/>
        <w:tabs>
          <w:tab w:val="left" w:leader="none" w:pos="567"/>
        </w:tabs>
        <w:spacing w:after="160" w:line="360" w:lineRule="auto"/>
        <w:ind w:left="0"/>
        <w:jc w:val="both"/>
        <w:rPr>
          <w:rFonts w:ascii="Times New Roman" w:hAnsi="Times New Roman" w:cs="Times New Roman"/>
        </w:rPr>
      </w:pPr>
      <w:r>
        <w:rPr>
          <w:rFonts w:ascii="Times New Roman" w:hAnsi="Times New Roman" w:cs="Times New Roman"/>
        </w:rPr>
        <w:t xml:space="preserve">13.1 As despesas orçamentárias ocorrerão por conta das seguintes classificação:</w:t>
      </w:r>
      <w:r>
        <w:rPr>
          <w:rFonts w:ascii="Times New Roman" w:hAnsi="Times New Roman" w:cs="Times New Roman"/>
        </w:rPr>
      </w:r>
    </w:p>
    <w:p w14:paraId="779215DC" w14:textId="77777777">
      <w:pPr>
        <w:pStyle w:val="1068"/>
        <w:pBdr/>
        <w:tabs>
          <w:tab w:val="left" w:leader="none" w:pos="567"/>
        </w:tabs>
        <w:spacing w:after="160" w:line="360" w:lineRule="auto"/>
        <w:ind w:left="0"/>
        <w:jc w:val="both"/>
        <w:rPr>
          <w:rFonts w:ascii="Times New Roman" w:hAnsi="Times New Roman" w:cs="Times New Roman"/>
        </w:rPr>
      </w:pPr>
      <w:r>
        <w:rPr>
          <w:rFonts w:ascii="Times New Roman" w:hAnsi="Times New Roman" w:cs="Times New Roman"/>
        </w:rPr>
        <w:t xml:space="preserve">13.2. A dotação relativa aos exercícios financeiros subsequentes será indicada após aprovação da Lei Orçamentária respectiva e liberação dos créditos correspondentes, mediante apostilamento.</w:t>
      </w:r>
      <w:r>
        <w:rPr>
          <w:rFonts w:ascii="Times New Roman" w:hAnsi="Times New Roman" w:cs="Times New Roman"/>
        </w:rPr>
      </w:r>
    </w:p>
    <w:tbl>
      <w:tblPr>
        <w:tblInd w:w="-201" w:type="dxa"/>
        <w:tblW w:w="10119" w:type="dxa"/>
        <w:tblCellMar>
          <w:left w:w="55" w:type="dxa"/>
          <w:top w:w="55" w:type="dxa"/>
          <w:right w:w="55" w:type="dxa"/>
          <w:bottom w:w="55" w:type="dxa"/>
        </w:tblCellMar>
        <w:tblBorders/>
        <w:tblLayout w:type="fixed"/>
        <w:tblLook w:val="04A0" w:firstRow="1" w:lastRow="0" w:firstColumn="1" w:lastColumn="0" w:noHBand="0" w:noVBand="1"/>
      </w:tblPr>
      <w:tblGrid>
        <w:gridCol w:w="2386"/>
        <w:gridCol w:w="7733"/>
      </w:tblGrid>
      <w:tr>
        <w:trPr/>
        <w:tc>
          <w:tcPr>
            <w:tcBorders>
              <w:top w:val="single" w:color="000000" w:sz="4" w:space="0"/>
              <w:left w:val="single" w:color="000000" w:sz="4" w:space="0"/>
              <w:bottom w:val="single" w:color="000000" w:sz="4" w:space="0"/>
              <w:right w:val="single" w:color="000000" w:sz="4" w:space="0"/>
            </w:tcBorders>
            <w:tcW w:w="2386" w:type="dxa"/>
            <w:vAlign w:val="center"/>
            <w:textDirection w:val="lrTb"/>
            <w:noWrap w:val="false"/>
          </w:tcPr>
          <w:p w14:paraId="3A5D99B9" w14:textId="77777777">
            <w:pPr>
              <w:pBdr/>
              <w:spacing/>
              <w:ind/>
              <w:rPr/>
            </w:pPr>
            <w:r>
              <w:t xml:space="preserve">Órgão:</w:t>
            </w:r>
            <w:r/>
          </w:p>
        </w:tc>
        <w:tc>
          <w:tcPr>
            <w:tcBorders>
              <w:top w:val="single" w:color="000000" w:sz="4" w:space="0"/>
              <w:left w:val="single" w:color="000000" w:sz="4" w:space="0"/>
              <w:bottom w:val="single" w:color="000000" w:sz="4" w:space="0"/>
              <w:right w:val="single" w:color="000000" w:sz="4" w:space="0"/>
            </w:tcBorders>
            <w:tcW w:w="7733" w:type="dxa"/>
            <w:vAlign w:val="center"/>
            <w:textDirection w:val="lrTb"/>
            <w:noWrap w:val="false"/>
          </w:tcPr>
          <w:p w14:paraId="33DF3157" w14:textId="77777777">
            <w:pPr>
              <w:pBdr/>
              <w:spacing/>
              <w:ind/>
              <w:rPr/>
            </w:pPr>
            <w:r>
              <w:t xml:space="preserve">02-PREFEITURA MUNICIPAL RONDONOPOLIS</w:t>
            </w:r>
            <w:r/>
          </w:p>
        </w:tc>
      </w:tr>
      <w:tr>
        <w:trPr/>
        <w:tc>
          <w:tcPr>
            <w:tcBorders>
              <w:top w:val="single" w:color="000000" w:sz="4" w:space="0"/>
              <w:left w:val="single" w:color="000000" w:sz="4" w:space="0"/>
              <w:bottom w:val="single" w:color="000000" w:sz="4" w:space="0"/>
              <w:right w:val="single" w:color="000000" w:sz="4" w:space="0"/>
            </w:tcBorders>
            <w:tcW w:w="2386" w:type="dxa"/>
            <w:vAlign w:val="center"/>
            <w:textDirection w:val="lrTb"/>
            <w:noWrap w:val="false"/>
          </w:tcPr>
          <w:p w14:paraId="57AB24BD" w14:textId="77777777">
            <w:pPr>
              <w:pBdr/>
              <w:spacing/>
              <w:ind/>
              <w:rPr/>
            </w:pPr>
            <w:r>
              <w:t xml:space="preserve">Unidade:</w:t>
            </w:r>
            <w:r/>
          </w:p>
        </w:tc>
        <w:tc>
          <w:tcPr>
            <w:tcBorders>
              <w:top w:val="single" w:color="000000" w:sz="4" w:space="0"/>
              <w:left w:val="single" w:color="000000" w:sz="4" w:space="0"/>
              <w:bottom w:val="single" w:color="000000" w:sz="4" w:space="0"/>
              <w:right w:val="single" w:color="000000" w:sz="4" w:space="0"/>
            </w:tcBorders>
            <w:tcW w:w="7733" w:type="dxa"/>
            <w:vAlign w:val="center"/>
            <w:textDirection w:val="lrTb"/>
            <w:noWrap w:val="false"/>
          </w:tcPr>
          <w:p w14:paraId="5BAD3CFA" w14:textId="77777777">
            <w:pPr>
              <w:pBdr/>
              <w:spacing/>
              <w:ind/>
              <w:rPr/>
            </w:pPr>
            <w:r>
              <w:t xml:space="preserve">13-FUNDO MUNICIPAL DE ASSISTÊNCIA SOCIAL</w:t>
            </w:r>
            <w:r/>
          </w:p>
        </w:tc>
      </w:tr>
      <w:tr>
        <w:trPr/>
        <w:tc>
          <w:tcPr>
            <w:tcBorders>
              <w:top w:val="single" w:color="000000" w:sz="4" w:space="0"/>
              <w:left w:val="single" w:color="000000" w:sz="4" w:space="0"/>
              <w:bottom w:val="single" w:color="000000" w:sz="4" w:space="0"/>
              <w:right w:val="single" w:color="000000" w:sz="4" w:space="0"/>
            </w:tcBorders>
            <w:tcW w:w="2386" w:type="dxa"/>
            <w:vAlign w:val="center"/>
            <w:textDirection w:val="lrTb"/>
            <w:noWrap w:val="false"/>
          </w:tcPr>
          <w:p w14:paraId="1A0D4084" w14:textId="77777777">
            <w:pPr>
              <w:pBdr/>
              <w:spacing/>
              <w:ind/>
              <w:rPr/>
            </w:pPr>
            <w:r>
              <w:t xml:space="preserve">Funcional Programática:</w:t>
            </w:r>
            <w:r/>
          </w:p>
        </w:tc>
        <w:tc>
          <w:tcPr>
            <w:tcBorders>
              <w:top w:val="single" w:color="000000" w:sz="4" w:space="0"/>
              <w:left w:val="single" w:color="000000" w:sz="4" w:space="0"/>
              <w:bottom w:val="single" w:color="000000" w:sz="4" w:space="0"/>
              <w:right w:val="single" w:color="000000" w:sz="4" w:space="0"/>
            </w:tcBorders>
            <w:tcW w:w="7733" w:type="dxa"/>
            <w:vAlign w:val="center"/>
            <w:textDirection w:val="lrTb"/>
            <w:noWrap w:val="false"/>
          </w:tcPr>
          <w:p w14:paraId="0970C493" w14:textId="77777777">
            <w:pPr>
              <w:pBdr/>
              <w:spacing/>
              <w:ind/>
              <w:jc w:val="both"/>
              <w:rPr/>
            </w:pPr>
            <w:r>
              <w:t xml:space="preserve">08.244.2207.2255-SERVIÇOS DE PROTEÇÃO SOCIAL BÁSICA (CRAS, EQ. VOLANTE, SCFV)</w:t>
            </w:r>
            <w:r/>
          </w:p>
        </w:tc>
      </w:tr>
      <w:tr>
        <w:trPr/>
        <w:tc>
          <w:tcPr>
            <w:tcBorders>
              <w:top w:val="single" w:color="000000" w:sz="4" w:space="0"/>
              <w:left w:val="single" w:color="000000" w:sz="4" w:space="0"/>
              <w:bottom w:val="single" w:color="000000" w:sz="4" w:space="0"/>
              <w:right w:val="single" w:color="000000" w:sz="4" w:space="0"/>
            </w:tcBorders>
            <w:tcW w:w="2386" w:type="dxa"/>
            <w:vAlign w:val="center"/>
            <w:textDirection w:val="lrTb"/>
            <w:noWrap w:val="false"/>
          </w:tcPr>
          <w:p w14:paraId="045862E8" w14:textId="77777777">
            <w:pPr>
              <w:pBdr/>
              <w:spacing/>
              <w:ind/>
              <w:rPr/>
            </w:pPr>
            <w:r>
              <w:t xml:space="preserve">Elemento de Despesa:</w:t>
            </w:r>
            <w:r/>
          </w:p>
        </w:tc>
        <w:tc>
          <w:tcPr>
            <w:tcBorders>
              <w:top w:val="single" w:color="000000" w:sz="4" w:space="0"/>
              <w:left w:val="single" w:color="000000" w:sz="4" w:space="0"/>
              <w:bottom w:val="single" w:color="000000" w:sz="4" w:space="0"/>
              <w:right w:val="single" w:color="000000" w:sz="4" w:space="0"/>
            </w:tcBorders>
            <w:tcW w:w="7733" w:type="dxa"/>
            <w:vAlign w:val="center"/>
            <w:textDirection w:val="lrTb"/>
            <w:noWrap w:val="false"/>
          </w:tcPr>
          <w:p w14:paraId="4DD70D7C" w14:textId="77777777">
            <w:pPr>
              <w:pBdr/>
              <w:spacing/>
              <w:ind/>
              <w:rPr/>
            </w:pPr>
            <w:r>
              <w:t xml:space="preserve">3.3.90.39 - Outros Serviços de Terceiros - Pessoa Jurídica</w:t>
            </w:r>
            <w:r/>
          </w:p>
        </w:tc>
      </w:tr>
      <w:tr>
        <w:trPr/>
        <w:tc>
          <w:tcPr>
            <w:tcBorders>
              <w:top w:val="single" w:color="000000" w:sz="4" w:space="0"/>
              <w:left w:val="single" w:color="000000" w:sz="4" w:space="0"/>
              <w:bottom w:val="single" w:color="000000" w:sz="4" w:space="0"/>
              <w:right w:val="single" w:color="000000" w:sz="4" w:space="0"/>
            </w:tcBorders>
            <w:tcW w:w="2386" w:type="dxa"/>
            <w:vAlign w:val="center"/>
            <w:textDirection w:val="lrTb"/>
            <w:noWrap w:val="false"/>
          </w:tcPr>
          <w:p w14:paraId="37DE246D" w14:textId="77777777">
            <w:pPr>
              <w:pBdr/>
              <w:spacing/>
              <w:ind/>
              <w:rPr/>
            </w:pPr>
            <w:r>
              <w:t xml:space="preserve">Reduzido:</w:t>
            </w:r>
            <w:r/>
          </w:p>
        </w:tc>
        <w:tc>
          <w:tcPr>
            <w:tcBorders>
              <w:top w:val="single" w:color="000000" w:sz="4" w:space="0"/>
              <w:left w:val="single" w:color="000000" w:sz="4" w:space="0"/>
              <w:bottom w:val="single" w:color="000000" w:sz="4" w:space="0"/>
              <w:right w:val="single" w:color="000000" w:sz="4" w:space="0"/>
            </w:tcBorders>
            <w:tcW w:w="7733" w:type="dxa"/>
            <w:vAlign w:val="center"/>
            <w:textDirection w:val="lrTb"/>
            <w:noWrap w:val="false"/>
          </w:tcPr>
          <w:p w14:paraId="602848D4" w14:textId="77777777">
            <w:pPr>
              <w:pBdr/>
              <w:spacing/>
              <w:ind/>
              <w:rPr/>
            </w:pPr>
            <w:r>
              <w:t xml:space="preserve">377</w:t>
            </w:r>
            <w:r/>
          </w:p>
        </w:tc>
      </w:tr>
      <w:tr>
        <w:trPr/>
        <w:tc>
          <w:tcPr>
            <w:tcBorders>
              <w:top w:val="single" w:color="000000" w:sz="4" w:space="0"/>
              <w:left w:val="single" w:color="000000" w:sz="4" w:space="0"/>
              <w:bottom w:val="single" w:color="000000" w:sz="4" w:space="0"/>
              <w:right w:val="single" w:color="000000" w:sz="4" w:space="0"/>
            </w:tcBorders>
            <w:tcW w:w="2386" w:type="dxa"/>
            <w:vAlign w:val="center"/>
            <w:textDirection w:val="lrTb"/>
            <w:noWrap w:val="false"/>
          </w:tcPr>
          <w:p w14:paraId="1398F7F1" w14:textId="77777777">
            <w:pPr>
              <w:pBdr/>
              <w:spacing/>
              <w:ind/>
              <w:rPr/>
            </w:pPr>
            <w:r>
              <w:t xml:space="preserve">Fonte de Recurso:</w:t>
            </w:r>
            <w:r/>
          </w:p>
        </w:tc>
        <w:tc>
          <w:tcPr>
            <w:tcBorders>
              <w:top w:val="single" w:color="000000" w:sz="4" w:space="0"/>
              <w:left w:val="single" w:color="000000" w:sz="4" w:space="0"/>
              <w:bottom w:val="single" w:color="000000" w:sz="4" w:space="0"/>
              <w:right w:val="single" w:color="000000" w:sz="4" w:space="0"/>
            </w:tcBorders>
            <w:tcW w:w="7733" w:type="dxa"/>
            <w:vAlign w:val="center"/>
            <w:textDirection w:val="lrTb"/>
            <w:noWrap w:val="false"/>
          </w:tcPr>
          <w:p w14:paraId="6E6C9B62" w14:textId="77777777">
            <w:pPr>
              <w:pBdr/>
              <w:spacing/>
              <w:ind/>
              <w:rPr/>
            </w:pPr>
            <w:r>
              <w:t xml:space="preserve">1.500.0000000</w:t>
            </w:r>
            <w:r/>
          </w:p>
        </w:tc>
      </w:tr>
    </w:tbl>
    <w:p w14:paraId="170B7509" w14:textId="77777777">
      <w:pPr>
        <w:pStyle w:val="1068"/>
        <w:pBdr/>
        <w:tabs>
          <w:tab w:val="left" w:leader="none" w:pos="567"/>
        </w:tabs>
        <w:spacing w:after="160" w:line="360" w:lineRule="auto"/>
        <w:ind w:left="0"/>
        <w:jc w:val="both"/>
        <w:rPr>
          <w:rFonts w:ascii="Times New Roman" w:hAnsi="Times New Roman" w:cs="Times New Roman"/>
          <w:sz w:val="10"/>
          <w:szCs w:val="10"/>
        </w:rPr>
      </w:pPr>
      <w:r>
        <w:rPr>
          <w:rFonts w:ascii="Times New Roman" w:hAnsi="Times New Roman" w:cs="Times New Roman"/>
          <w:sz w:val="10"/>
          <w:szCs w:val="10"/>
        </w:rPr>
      </w:r>
      <w:r>
        <w:rPr>
          <w:rFonts w:ascii="Times New Roman" w:hAnsi="Times New Roman" w:cs="Times New Roman"/>
          <w:sz w:val="10"/>
          <w:szCs w:val="10"/>
        </w:rPr>
      </w:r>
    </w:p>
    <w:p w14:paraId="2D95892D" w14:textId="77777777">
      <w:pPr>
        <w:pStyle w:val="1068"/>
        <w:pBdr/>
        <w:tabs>
          <w:tab w:val="left" w:leader="none" w:pos="567"/>
        </w:tabs>
        <w:spacing w:after="160" w:line="360" w:lineRule="auto"/>
        <w:ind w:left="0"/>
        <w:jc w:val="both"/>
        <w:rPr>
          <w:rFonts w:ascii="Times New Roman" w:hAnsi="Times New Roman" w:cs="Times New Roman"/>
          <w:sz w:val="10"/>
          <w:szCs w:val="10"/>
        </w:rPr>
      </w:pPr>
      <w:r>
        <w:rPr>
          <w:rFonts w:ascii="Times New Roman" w:hAnsi="Times New Roman" w:cs="Times New Roman"/>
          <w:sz w:val="10"/>
          <w:szCs w:val="10"/>
        </w:rPr>
      </w:r>
      <w:r>
        <w:rPr>
          <w:rFonts w:ascii="Times New Roman" w:hAnsi="Times New Roman" w:cs="Times New Roman"/>
          <w:sz w:val="10"/>
          <w:szCs w:val="10"/>
        </w:rPr>
      </w:r>
    </w:p>
    <w:p w14:paraId="5CBC51F2" w14:textId="77777777">
      <w:pPr>
        <w:pStyle w:val="1068"/>
        <w:pBdr/>
        <w:tabs>
          <w:tab w:val="left" w:leader="none" w:pos="567"/>
        </w:tabs>
        <w:spacing w:after="160" w:line="360" w:lineRule="auto"/>
        <w:ind w:left="0"/>
        <w:jc w:val="both"/>
        <w:rPr>
          <w:rFonts w:ascii="Times New Roman" w:hAnsi="Times New Roman" w:cs="Times New Roman"/>
          <w:sz w:val="10"/>
          <w:szCs w:val="10"/>
        </w:rPr>
      </w:pPr>
      <w:r>
        <w:rPr>
          <w:rFonts w:ascii="Times New Roman" w:hAnsi="Times New Roman" w:cs="Times New Roman"/>
          <w:sz w:val="10"/>
          <w:szCs w:val="10"/>
        </w:rPr>
      </w:r>
      <w:r>
        <w:rPr>
          <w:rFonts w:ascii="Times New Roman" w:hAnsi="Times New Roman" w:cs="Times New Roman"/>
          <w:sz w:val="10"/>
          <w:szCs w:val="10"/>
        </w:rPr>
      </w:r>
    </w:p>
    <w:p w14:paraId="3FA09F82" w14:textId="77777777">
      <w:pPr>
        <w:pStyle w:val="1068"/>
        <w:pBdr>
          <w:top w:val="single" w:color="000000" w:sz="4" w:space="0"/>
          <w:left w:val="single" w:color="000000" w:sz="4" w:space="0"/>
          <w:bottom w:val="single" w:color="000000" w:sz="4" w:space="0"/>
          <w:right w:val="single" w:color="000000" w:sz="4" w:space="0"/>
        </w:pBdr>
        <w:shd w:val="clear" w:color="auto" w:fill="d8d8d8" w:themeFill="background1" w:themeFillShade="D8"/>
        <w:tabs>
          <w:tab w:val="left" w:leader="none" w:pos="567"/>
        </w:tabs>
        <w:spacing w:after="160"/>
        <w:ind w:left="0"/>
        <w:jc w:val="center"/>
        <w:rPr>
          <w:rFonts w:ascii="Times New Roman" w:hAnsi="Times New Roman" w:cs="Times New Roman"/>
          <w:b/>
          <w:bCs/>
        </w:rPr>
      </w:pPr>
      <w:r>
        <w:rPr>
          <w:rFonts w:ascii="Times New Roman" w:hAnsi="Times New Roman" w:cs="Times New Roman"/>
          <w:b/>
          <w:bCs/>
        </w:rPr>
        <w:t xml:space="preserve">14. DO FORO</w:t>
      </w:r>
      <w:r>
        <w:rPr>
          <w:rFonts w:ascii="Times New Roman" w:hAnsi="Times New Roman" w:cs="Times New Roman"/>
          <w:b/>
          <w:bCs/>
        </w:rPr>
      </w:r>
    </w:p>
    <w:p w14:paraId="10141BF7" w14:textId="77777777">
      <w:pPr>
        <w:pBdr/>
        <w:spacing w:after="57" w:before="57" w:line="360" w:lineRule="auto"/>
        <w:ind w:right="340" w:left="-57"/>
        <w:jc w:val="both"/>
        <w:rPr/>
      </w:pPr>
      <w:r>
        <w:t xml:space="preserve">14. As questões decorrentes da execução do presente instrumento, que não possam ser dirimidas administrativamente, serão processadas e julgadas, no foro da cidade de Rondonópolis – MT, com exclusão de qualquer outro, por mais privilegiado que seja.</w:t>
      </w:r>
      <w:r/>
    </w:p>
    <w:tbl>
      <w:tblPr>
        <w:tblInd w:w="90" w:type="dxa"/>
        <w:tblW w:w="10521" w:type="dxa"/>
        <w:tblBorders/>
        <w:tblLayout w:type="fixed"/>
        <w:tblLook w:val="04A0" w:firstRow="1" w:lastRow="0" w:firstColumn="1" w:lastColumn="0" w:noHBand="0" w:noVBand="1"/>
      </w:tblPr>
      <w:tblGrid>
        <w:gridCol w:w="10521"/>
      </w:tblGrid>
      <w:tr>
        <w:trPr>
          <w:trHeight w:val="290"/>
        </w:trPr>
        <w:tc>
          <w:tcPr>
            <w:shd w:val="clear" w:color="auto" w:fill="dddddd"/>
            <w:tcBorders>
              <w:top w:val="single" w:color="000000" w:sz="4" w:space="0"/>
              <w:left w:val="single" w:color="000000" w:sz="4" w:space="0"/>
              <w:bottom w:val="single" w:color="000000" w:sz="4" w:space="0"/>
              <w:right w:val="single" w:color="000000" w:sz="4" w:space="0"/>
            </w:tcBorders>
            <w:tcW w:w="10521" w:type="dxa"/>
            <w:textDirection w:val="lrTb"/>
            <w:noWrap w:val="false"/>
          </w:tcPr>
          <w:p w14:paraId="6E818F1F" w14:textId="77777777">
            <w:pPr>
              <w:pBdr/>
              <w:spacing w:after="57" w:before="57"/>
              <w:ind/>
              <w:jc w:val="center"/>
              <w:rPr/>
            </w:pPr>
            <w:r>
              <w:rPr>
                <w:b/>
                <w:bCs/>
              </w:rPr>
              <w:t xml:space="preserve">15. DATA E QUADRO DE ASSINATURA</w:t>
            </w:r>
            <w:r/>
          </w:p>
        </w:tc>
      </w:tr>
    </w:tbl>
    <w:p w14:paraId="26E2468E" w14:textId="77777777">
      <w:pPr>
        <w:pBdr/>
        <w:spacing/>
        <w:ind/>
        <w:rPr/>
      </w:pPr>
      <w:r/>
      <w:bookmarkStart w:id="41" w:name="_Hlk169703305"/>
      <w:r/>
      <w:bookmarkStart w:id="42" w:name="_Hlk169703328"/>
      <w:r/>
      <w:bookmarkStart w:id="43" w:name="_Hlk169703365"/>
      <w:r/>
      <w:bookmarkStart w:id="44" w:name="_Hlk169703386"/>
      <w:r/>
      <w:r/>
    </w:p>
    <w:p w14:paraId="51B96AB6" w14:textId="77777777">
      <w:pPr>
        <w:pBdr/>
        <w:spacing/>
        <w:ind/>
        <w:jc w:val="right"/>
        <w:rPr/>
      </w:pPr>
      <w:r/>
      <w:r/>
    </w:p>
    <w:p w14:paraId="513F99A3" w14:textId="77777777">
      <w:pPr>
        <w:pBdr/>
        <w:spacing/>
        <w:ind/>
        <w:jc w:val="right"/>
        <w:rPr/>
      </w:pPr>
      <w:r/>
      <w:r/>
    </w:p>
    <w:p w14:paraId="0FF5F409" w14:textId="77777777">
      <w:pPr>
        <w:pBdr/>
        <w:spacing/>
        <w:ind/>
        <w:jc w:val="right"/>
        <w:rPr/>
      </w:pPr>
      <w:r/>
      <w:bookmarkEnd w:id="41"/>
      <w:bookmarkEnd w:id="42"/>
      <w:bookmarkEnd w:id="43"/>
      <w:bookmarkEnd w:id="44"/>
      <w:r/>
    </w:p>
    <w:p w14:paraId="699FAD5F" w14:textId="77777777">
      <w:pPr>
        <w:pBdr/>
        <w:spacing/>
        <w:ind/>
        <w:jc w:val="right"/>
        <w:rPr/>
      </w:pPr>
      <w:r/>
      <w:r/>
    </w:p>
    <w:p w14:paraId="2DCB06E1" w14:textId="77777777">
      <w:pPr>
        <w:pBdr/>
        <w:spacing/>
        <w:ind/>
        <w:jc w:val="right"/>
        <w:rPr/>
      </w:pPr>
      <w:r/>
      <w:r/>
    </w:p>
    <w:p w14:paraId="60D3B8C2" w14:textId="77777777">
      <w:pPr>
        <w:pBdr/>
        <w:spacing/>
        <w:ind/>
        <w:jc w:val="center"/>
        <w:rPr>
          <w:b/>
          <w:bCs/>
        </w:rPr>
      </w:pPr>
      <w:r>
        <w:rPr>
          <w:b/>
          <w:bCs/>
        </w:rPr>
        <w:t xml:space="preserve">FRANCISLENE A.R.CHAVES DUARTE</w:t>
      </w:r>
      <w:r>
        <w:rPr>
          <w:b/>
          <w:bCs/>
        </w:rPr>
      </w:r>
    </w:p>
    <w:p w14:paraId="3563CE35" w14:textId="77777777">
      <w:pPr>
        <w:pBdr/>
        <w:spacing/>
        <w:ind/>
        <w:jc w:val="center"/>
        <w:rPr/>
      </w:pPr>
      <w:r>
        <w:t xml:space="preserve">Gerente de Divisão de Suprimentos e Compras</w:t>
      </w:r>
      <w:r/>
    </w:p>
    <w:p w14:paraId="50EA9807" w14:textId="77777777">
      <w:pPr>
        <w:pBdr/>
        <w:spacing/>
        <w:ind/>
        <w:jc w:val="center"/>
        <w:rPr/>
      </w:pPr>
      <w:r/>
      <w:r/>
    </w:p>
    <w:p w14:paraId="52D7170A" w14:textId="77777777">
      <w:pPr>
        <w:pBdr/>
        <w:spacing/>
        <w:ind/>
        <w:jc w:val="center"/>
        <w:rPr/>
      </w:pPr>
      <w:r/>
      <w:r/>
    </w:p>
    <w:p w14:paraId="209BB3F3" w14:textId="77777777">
      <w:pPr>
        <w:pBdr/>
        <w:spacing/>
        <w:ind/>
        <w:jc w:val="center"/>
        <w:rPr/>
      </w:pPr>
      <w:r/>
      <w:r/>
    </w:p>
    <w:p w14:paraId="1053388A" w14:textId="77777777">
      <w:pPr>
        <w:pBdr/>
        <w:spacing/>
        <w:ind/>
        <w:jc w:val="center"/>
        <w:rPr>
          <w:b/>
          <w:bCs/>
        </w:rPr>
      </w:pPr>
      <w:r>
        <w:rPr>
          <w:b/>
          <w:bCs/>
        </w:rPr>
        <w:t xml:space="preserve">ALESSANDRA FERREIRA CRÓCO DE SOUZA</w:t>
      </w:r>
      <w:r>
        <w:rPr>
          <w:b/>
          <w:bCs/>
        </w:rPr>
      </w:r>
    </w:p>
    <w:p w14:paraId="63ACAFA4" w14:textId="77777777">
      <w:pPr>
        <w:pBdr/>
        <w:spacing/>
        <w:ind/>
        <w:jc w:val="center"/>
        <w:rPr/>
      </w:pPr>
      <w:r>
        <w:t xml:space="preserve">Secretária Municipal de Promoção e Assistência Social</w:t>
      </w:r>
      <w:r/>
    </w:p>
    <w:p w14:paraId="72DB188B" w14:textId="77777777">
      <w:pPr>
        <w:pBdr/>
        <w:spacing/>
        <w:ind/>
        <w:rPr>
          <w:rFonts w:ascii="Arial" w:hAnsi="Arial" w:eastAsia="Arial" w:cs="Arial"/>
          <w:b/>
        </w:rPr>
      </w:pPr>
      <w:r>
        <w:rPr>
          <w:rFonts w:ascii="Arial" w:hAnsi="Arial" w:eastAsia="Arial" w:cs="Arial"/>
          <w:b/>
        </w:rPr>
      </w:r>
      <w:r>
        <w:rPr>
          <w:rFonts w:ascii="Arial" w:hAnsi="Arial" w:eastAsia="Arial" w:cs="Arial"/>
          <w:b/>
        </w:rPr>
      </w:r>
    </w:p>
    <w:p w14:paraId="5A4970E6" w14:textId="77777777">
      <w:pPr>
        <w:pBdr/>
        <w:spacing/>
        <w:ind/>
        <w:rPr>
          <w:rFonts w:ascii="Arial" w:hAnsi="Arial" w:eastAsia="Arial" w:cs="Arial"/>
          <w:b/>
        </w:rPr>
      </w:pPr>
      <w:r>
        <w:rPr>
          <w:rFonts w:ascii="Arial" w:hAnsi="Arial" w:eastAsia="Arial" w:cs="Arial"/>
          <w:b/>
        </w:rPr>
      </w:r>
      <w:r>
        <w:rPr>
          <w:rFonts w:ascii="Arial" w:hAnsi="Arial" w:eastAsia="Arial" w:cs="Arial"/>
          <w:b/>
        </w:rPr>
      </w:r>
    </w:p>
    <w:p w14:paraId="4E7D10AE" w14:textId="77777777">
      <w:pPr>
        <w:pBdr/>
        <w:spacing/>
        <w:ind/>
        <w:rPr>
          <w:rFonts w:ascii="Arial" w:hAnsi="Arial" w:eastAsia="Arial" w:cs="Arial"/>
          <w:b/>
        </w:rPr>
      </w:pPr>
      <w:r>
        <w:rPr>
          <w:rFonts w:ascii="Arial" w:hAnsi="Arial" w:eastAsia="Arial" w:cs="Arial"/>
          <w:b/>
        </w:rPr>
      </w:r>
      <w:r>
        <w:rPr>
          <w:rFonts w:ascii="Arial" w:hAnsi="Arial" w:eastAsia="Arial" w:cs="Arial"/>
          <w:b/>
        </w:rPr>
      </w:r>
    </w:p>
    <w:p w14:paraId="2EF5B6FB" w14:textId="77777777">
      <w:pPr>
        <w:pBdr/>
        <w:spacing/>
        <w:ind/>
        <w:rPr>
          <w:rFonts w:ascii="Arial" w:hAnsi="Arial" w:eastAsia="Arial" w:cs="Arial"/>
          <w:b/>
        </w:rPr>
      </w:pPr>
      <w:r>
        <w:rPr>
          <w:rFonts w:ascii="Arial" w:hAnsi="Arial" w:eastAsia="Arial" w:cs="Arial"/>
          <w:b/>
        </w:rPr>
        <w:br w:type="page" w:clear="all"/>
      </w:r>
      <w:r>
        <w:rPr>
          <w:rFonts w:ascii="Arial" w:hAnsi="Arial" w:eastAsia="Arial" w:cs="Arial"/>
          <w:b/>
        </w:rPr>
      </w:r>
    </w:p>
    <w:p w14:paraId="237997DF" w14:textId="77777777">
      <w:pPr>
        <w:pBdr/>
        <w:spacing/>
        <w:ind/>
        <w:rPr>
          <w:rFonts w:ascii="Arial" w:hAnsi="Arial" w:eastAsia="Arial" w:cs="Arial"/>
          <w:b/>
        </w:rPr>
      </w:pPr>
      <w:r>
        <w:rPr>
          <w:rFonts w:ascii="Arial" w:hAnsi="Arial" w:eastAsia="Arial" w:cs="Arial"/>
          <w:b/>
        </w:rPr>
      </w:r>
      <w:r>
        <w:rPr>
          <w:rFonts w:ascii="Arial" w:hAnsi="Arial" w:eastAsia="Arial" w:cs="Arial"/>
          <w:b/>
        </w:rPr>
      </w:r>
    </w:p>
    <w:p w14:paraId="0AC413F1" w14:textId="77777777">
      <w:pPr>
        <w:pBdr/>
        <w:spacing/>
        <w:ind/>
        <w:rPr>
          <w:rFonts w:ascii="Arial" w:hAnsi="Arial" w:eastAsia="Arial" w:cs="Arial"/>
          <w:b/>
        </w:rPr>
      </w:pPr>
      <w:r>
        <w:rPr>
          <w:rFonts w:ascii="Arial" w:hAnsi="Arial" w:eastAsia="Arial" w:cs="Arial"/>
          <w:b/>
        </w:rPr>
      </w:r>
      <w:r>
        <w:rPr>
          <w:rFonts w:ascii="Arial" w:hAnsi="Arial" w:eastAsia="Arial" w:cs="Arial"/>
          <w:b/>
        </w:rPr>
      </w:r>
    </w:p>
    <w:p w14:paraId="1F3DB46F" w14:textId="77777777">
      <w:pPr>
        <w:pBdr/>
        <w:spacing/>
        <w:ind/>
        <w:rPr>
          <w:rFonts w:ascii="Arial" w:hAnsi="Arial" w:eastAsia="Arial" w:cs="Arial"/>
          <w:b/>
        </w:rPr>
      </w:pPr>
      <w:r>
        <w:rPr>
          <w:rFonts w:ascii="Arial" w:hAnsi="Arial" w:eastAsia="Arial" w:cs="Arial"/>
          <w:b/>
        </w:rPr>
      </w:r>
      <w:r>
        <w:rPr>
          <w:rFonts w:ascii="Arial" w:hAnsi="Arial" w:eastAsia="Arial" w:cs="Arial"/>
          <w:b/>
        </w:rPr>
      </w:r>
    </w:p>
    <w:p w14:paraId="1D3FBC6D" w14:textId="77777777">
      <w:pPr>
        <w:pBdr/>
        <w:spacing/>
        <w:ind/>
        <w:rPr>
          <w:rFonts w:ascii="Arial" w:hAnsi="Arial" w:eastAsia="Arial" w:cs="Arial"/>
          <w:b/>
        </w:rPr>
      </w:pPr>
      <w:r>
        <w:rPr>
          <w:rFonts w:ascii="Arial" w:hAnsi="Arial" w:eastAsia="Arial" w:cs="Arial"/>
          <w:b/>
        </w:rPr>
      </w:r>
      <w:r>
        <w:rPr>
          <w:rFonts w:ascii="Arial" w:hAnsi="Arial" w:eastAsia="Arial" w:cs="Arial"/>
          <w:b/>
        </w:rPr>
      </w:r>
    </w:p>
    <w:p w14:paraId="312C5A9F" w14:textId="77777777">
      <w:pPr>
        <w:pBdr/>
        <w:spacing/>
        <w:ind/>
        <w:rPr>
          <w:rFonts w:ascii="Arial" w:hAnsi="Arial" w:eastAsia="Arial" w:cs="Arial"/>
          <w:b/>
        </w:rPr>
      </w:pPr>
      <w:r>
        <w:rPr>
          <w:rFonts w:ascii="Arial" w:hAnsi="Arial" w:eastAsia="Arial" w:cs="Arial"/>
          <w:b/>
        </w:rPr>
      </w:r>
      <w:r>
        <w:rPr>
          <w:rFonts w:ascii="Arial" w:hAnsi="Arial" w:eastAsia="Arial" w:cs="Arial"/>
          <w:b/>
        </w:rPr>
      </w:r>
    </w:p>
    <w:p w14:paraId="0D9D4202" w14:textId="77777777">
      <w:pPr>
        <w:pBdr/>
        <w:spacing/>
        <w:ind/>
        <w:rPr>
          <w:rFonts w:ascii="Arial" w:hAnsi="Arial" w:eastAsia="Arial" w:cs="Arial"/>
          <w:b/>
        </w:rPr>
      </w:pPr>
      <w:r>
        <w:rPr>
          <w:rFonts w:ascii="Arial" w:hAnsi="Arial" w:eastAsia="Arial" w:cs="Arial"/>
          <w:b/>
        </w:rPr>
      </w:r>
      <w:r>
        <w:rPr>
          <w:rFonts w:ascii="Arial" w:hAnsi="Arial" w:eastAsia="Arial" w:cs="Arial"/>
          <w:b/>
        </w:rPr>
      </w:r>
    </w:p>
    <w:p w14:paraId="64F9FBB3" w14:textId="77777777">
      <w:pPr>
        <w:pStyle w:val="882"/>
        <w:pBdr/>
        <w:spacing w:after="0" w:before="0"/>
        <w:ind/>
        <w:jc w:val="center"/>
        <w:rPr>
          <w:bCs w:val="0"/>
          <w:sz w:val="20"/>
          <w:szCs w:val="20"/>
          <w:lang w:val="pt-BR"/>
        </w:rPr>
      </w:pPr>
      <w:r>
        <w:rPr>
          <w:bCs w:val="0"/>
          <w:sz w:val="20"/>
          <w:szCs w:val="20"/>
          <w:lang w:val="pt-BR"/>
        </w:rPr>
        <w:t xml:space="preserve">ANEXO II: MINUTA DA ATA DE REGISTRO DE PREÇOS.</w:t>
      </w:r>
      <w:r>
        <w:rPr>
          <w:bCs w:val="0"/>
          <w:sz w:val="20"/>
          <w:szCs w:val="20"/>
          <w:lang w:val="pt-BR"/>
        </w:rPr>
      </w:r>
    </w:p>
    <w:p w14:paraId="6539EBF9" w14:textId="77777777">
      <w:pPr>
        <w:pBdr/>
        <w:spacing/>
        <w:ind/>
        <w:rPr>
          <w:rFonts w:ascii="Arial" w:hAnsi="Arial" w:cs="Arial"/>
          <w:bCs/>
        </w:rPr>
      </w:pPr>
      <w:r>
        <w:rPr>
          <w:rFonts w:ascii="Arial" w:hAnsi="Arial" w:cs="Arial"/>
          <w:bCs/>
        </w:rPr>
      </w:r>
      <w:r>
        <w:rPr>
          <w:rFonts w:ascii="Arial" w:hAnsi="Arial" w:cs="Arial"/>
          <w:bCs/>
        </w:rPr>
      </w:r>
    </w:p>
    <w:p w14:paraId="7A1EA983" w14:textId="77777777">
      <w:pPr>
        <w:pBdr/>
        <w:spacing/>
        <w:ind/>
        <w:rPr/>
      </w:pPr>
      <w:r>
        <w:rPr>
          <w:rFonts w:ascii="Arial" w:hAnsi="Arial" w:cs="Arial"/>
          <w:b/>
          <w:bCs/>
          <w:iCs/>
          <w:color w:val="000000"/>
        </w:rPr>
        <w:t xml:space="preserve">ATA DE REGISTRO DE PREÇOS Nº. XX/2026.</w:t>
      </w:r>
      <w:r/>
    </w:p>
    <w:p w14:paraId="055A02AD" w14:textId="77777777">
      <w:pPr>
        <w:pBdr/>
        <w:spacing/>
        <w:ind/>
        <w:jc w:val="center"/>
        <w:rPr>
          <w:rFonts w:ascii="Arial" w:hAnsi="Arial" w:cs="Arial"/>
          <w:b/>
          <w:bCs/>
          <w:iCs/>
          <w:color w:val="000000"/>
        </w:rPr>
      </w:pPr>
      <w:r>
        <w:rPr>
          <w:rFonts w:ascii="Arial" w:hAnsi="Arial" w:cs="Arial"/>
          <w:b/>
          <w:bCs/>
          <w:iCs/>
          <w:color w:val="000000"/>
        </w:rPr>
      </w:r>
      <w:r>
        <w:rPr>
          <w:rFonts w:ascii="Arial" w:hAnsi="Arial" w:cs="Arial"/>
          <w:b/>
          <w:bCs/>
          <w:iCs/>
          <w:color w:val="000000"/>
        </w:rPr>
      </w:r>
    </w:p>
    <w:p w14:paraId="69255287" w14:textId="77777777">
      <w:pPr>
        <w:pBdr/>
        <w:spacing w:line="276" w:lineRule="auto"/>
        <w:ind/>
        <w:rPr/>
      </w:pPr>
      <w:r>
        <w:rPr>
          <w:rFonts w:ascii="Arial" w:hAnsi="Arial" w:cs="Arial"/>
          <w:b/>
          <w:bCs/>
          <w:iCs/>
          <w:color w:val="000000"/>
        </w:rPr>
        <w:t xml:space="preserve">PREGÃO ELETRÔNICO Nº.10/2026.</w:t>
      </w:r>
      <w:r>
        <w:t xml:space="preserve"> </w:t>
      </w:r>
      <w:r>
        <w:rPr>
          <w:rFonts w:ascii="Arial" w:hAnsi="Arial" w:cs="Arial"/>
          <w:b/>
          <w:bCs/>
          <w:iCs/>
          <w:highlight w:val="yellow"/>
        </w:rPr>
        <w:t xml:space="preserve">PROCESSO DE COMPRA Nº XX/2026.</w:t>
      </w:r>
      <w:r/>
    </w:p>
    <w:p w14:paraId="57DC0146" w14:textId="77777777">
      <w:pPr>
        <w:pBdr/>
        <w:spacing/>
        <w:ind/>
        <w:jc w:val="both"/>
        <w:rPr>
          <w:rFonts w:ascii="Arial" w:hAnsi="Arial" w:cs="Arial"/>
          <w:b/>
          <w:bCs/>
          <w:iCs/>
          <w:sz w:val="22"/>
          <w:szCs w:val="22"/>
        </w:rPr>
      </w:pPr>
      <w:r>
        <w:rPr>
          <w:rFonts w:ascii="Arial" w:hAnsi="Arial" w:cs="Arial"/>
          <w:b/>
          <w:bCs/>
          <w:iCs/>
          <w:sz w:val="22"/>
          <w:szCs w:val="22"/>
        </w:rPr>
      </w:r>
      <w:r>
        <w:rPr>
          <w:rFonts w:ascii="Arial" w:hAnsi="Arial" w:cs="Arial"/>
          <w:b/>
          <w:bCs/>
          <w:iCs/>
          <w:sz w:val="22"/>
          <w:szCs w:val="22"/>
        </w:rPr>
      </w:r>
    </w:p>
    <w:p w14:paraId="2E29BA6A" w14:textId="77777777">
      <w:pPr>
        <w:widowControl w:val="false"/>
        <w:pBdr/>
        <w:tabs>
          <w:tab w:val="center" w:leader="none" w:pos="4779"/>
          <w:tab w:val="right" w:leader="none" w:pos="9198"/>
        </w:tabs>
        <w:spacing w:line="276" w:lineRule="auto"/>
        <w:ind w:right="-28"/>
        <w:jc w:val="both"/>
        <w:rPr/>
      </w:pPr>
      <w:r>
        <w:rPr>
          <w:rFonts w:ascii="Arial" w:hAnsi="Arial" w:cs="Arial"/>
          <w:b/>
        </w:rPr>
        <w:t xml:space="preserve">O Município de Rondonópolis-Estado de Mato Grosso,</w:t>
      </w:r>
      <w:r>
        <w:rPr>
          <w:rFonts w:ascii="Arial" w:hAnsi="Arial" w:cs="Arial"/>
        </w:rPr>
        <w:t xml:space="preserve"> pessoa jurídica de direito público, com sede à Avenida Duque de Caxias n.º 1.000, Bairro: Vila Aurora, inscrita no CNPJ/MF. sob nº 03.347.101/0001-21, através da </w:t>
      </w:r>
      <w:r>
        <w:rPr>
          <w:rFonts w:ascii="Arial" w:hAnsi="Arial" w:cs="Arial"/>
          <w:b/>
        </w:rPr>
        <w:t xml:space="preserve">Secretaria Municipal de XXXXXX</w:t>
      </w:r>
      <w:r>
        <w:rPr>
          <w:rFonts w:ascii="Arial" w:hAnsi="Arial" w:cs="Arial"/>
        </w:rPr>
        <w:t xml:space="preserve">, neste ato representada pela </w:t>
      </w:r>
      <w:r>
        <w:rPr>
          <w:rFonts w:ascii="Arial" w:hAnsi="Arial" w:cs="Arial"/>
          <w:b/>
        </w:rPr>
        <w:t xml:space="preserve">Sr.(a) XXXXXXXXX</w:t>
      </w:r>
      <w:r>
        <w:rPr>
          <w:rFonts w:ascii="Arial" w:hAnsi="Arial" w:cs="Arial"/>
        </w:rPr>
        <w:t xml:space="preserve">, doravante denominada simplesmente </w:t>
      </w:r>
      <w:r>
        <w:rPr>
          <w:rFonts w:ascii="Arial" w:hAnsi="Arial" w:cs="Arial"/>
          <w:b/>
        </w:rPr>
        <w:t xml:space="preserve">Órgão Gerenciador</w:t>
      </w:r>
      <w:r>
        <w:rPr>
          <w:rFonts w:ascii="Arial" w:hAnsi="Arial" w:cs="Arial"/>
        </w:rPr>
        <w:t xml:space="preserve">, </w:t>
      </w:r>
      <w:r>
        <w:rPr>
          <w:rFonts w:ascii="Arial" w:hAnsi="Arial" w:cs="Arial"/>
          <w:b/>
        </w:rPr>
        <w:t xml:space="preserve">Resolve registrar os preços</w:t>
      </w:r>
      <w:r>
        <w:rPr>
          <w:rFonts w:ascii="Arial" w:hAnsi="Arial" w:cs="Arial"/>
        </w:rPr>
        <w:t xml:space="preserve"> das empresas abaixo relacionadas, doravante denominadas simplesmente </w:t>
      </w:r>
      <w:r>
        <w:rPr>
          <w:rFonts w:ascii="Arial" w:hAnsi="Arial" w:cs="Arial"/>
          <w:b/>
        </w:rPr>
        <w:t xml:space="preserve">Fornecedores Registrados</w:t>
      </w:r>
      <w:r>
        <w:rPr>
          <w:rFonts w:ascii="Arial" w:hAnsi="Arial" w:cs="Arial"/>
        </w:rPr>
        <w:t xml:space="preserve">, de acordo com a classificação por elas alcançadas nos itens abaixo relacionados, tendo em vista</w:t>
      </w:r>
      <w:r>
        <w:rPr>
          <w:rFonts w:ascii="Arial" w:hAnsi="Arial" w:cs="Arial"/>
        </w:rPr>
        <w:t xml:space="preserve"> que, atenderam todas as condições previstas no edital e seus anexos</w:t>
      </w:r>
      <w:r>
        <w:rPr>
          <w:rFonts w:ascii="Arial" w:hAnsi="Arial" w:cs="Arial"/>
          <w:b/>
        </w:rPr>
        <w:t xml:space="preserve">, </w:t>
      </w:r>
      <w:r>
        <w:rPr>
          <w:rFonts w:ascii="Arial" w:hAnsi="Arial" w:cs="Arial"/>
        </w:rPr>
        <w:t xml:space="preserve">com fundamento na Lei nº 14.133/2021, Decreto Municipal n.º 11.685, de 18 de setembro de 2023, Lei Complementar n.º 123/2006 e demais legislações correlatadas, resolvem celebrar o presente instrumento, mediante as cláusulas e condições a seguir:</w:t>
      </w:r>
      <w:r/>
    </w:p>
    <w:p w14:paraId="11E14223" w14:textId="77777777">
      <w:pPr>
        <w:pBdr/>
        <w:spacing w:line="276" w:lineRule="auto"/>
        <w:ind/>
        <w:jc w:val="both"/>
        <w:rPr>
          <w:rFonts w:ascii="Arial" w:hAnsi="Arial" w:cs="Arial"/>
        </w:rPr>
      </w:pPr>
      <w:r>
        <w:rPr>
          <w:rFonts w:ascii="Arial" w:hAnsi="Arial" w:cs="Arial"/>
        </w:rPr>
      </w:r>
      <w:r>
        <w:rPr>
          <w:rFonts w:ascii="Arial" w:hAnsi="Arial" w:cs="Arial"/>
        </w:rPr>
      </w:r>
    </w:p>
    <w:p w14:paraId="09B2F316" w14:textId="77777777">
      <w:pPr>
        <w:widowControl w:val="false"/>
        <w:pBdr/>
        <w:tabs>
          <w:tab w:val="center" w:leader="none" w:pos="4779"/>
          <w:tab w:val="right" w:leader="none" w:pos="9198"/>
        </w:tabs>
        <w:spacing/>
        <w:ind w:right="-28"/>
        <w:jc w:val="both"/>
        <w:rPr/>
      </w:pPr>
      <w:r>
        <w:rPr>
          <w:rFonts w:ascii="Arial" w:hAnsi="Arial" w:cs="Arial"/>
          <w:b/>
          <w:bCs/>
        </w:rPr>
        <w:t xml:space="preserve">1. DO OBJETO:</w:t>
      </w:r>
      <w:r/>
    </w:p>
    <w:p w14:paraId="31245993" w14:textId="77777777">
      <w:pPr>
        <w:widowControl w:val="false"/>
        <w:pBdr/>
        <w:tabs>
          <w:tab w:val="center" w:leader="none" w:pos="4779"/>
          <w:tab w:val="right" w:leader="none" w:pos="9198"/>
        </w:tabs>
        <w:spacing/>
        <w:ind w:right="-28"/>
        <w:jc w:val="both"/>
        <w:rPr>
          <w:rFonts w:ascii="Arial" w:hAnsi="Arial" w:cs="Arial"/>
          <w:b/>
          <w:bCs/>
        </w:rPr>
      </w:pPr>
      <w:r>
        <w:rPr>
          <w:rFonts w:ascii="Arial" w:hAnsi="Arial" w:cs="Arial"/>
          <w:b/>
          <w:bCs/>
        </w:rPr>
      </w:r>
      <w:r>
        <w:rPr>
          <w:rFonts w:ascii="Arial" w:hAnsi="Arial" w:cs="Arial"/>
          <w:b/>
          <w:bCs/>
        </w:rPr>
      </w:r>
    </w:p>
    <w:p w14:paraId="5A8D3A49" w14:textId="77777777">
      <w:pPr>
        <w:pBdr/>
        <w:spacing/>
        <w:ind/>
        <w:jc w:val="both"/>
        <w:rPr/>
      </w:pPr>
      <w:r>
        <w:rPr>
          <w:rFonts w:ascii="Arial" w:hAnsi="Arial" w:cs="Arial"/>
          <w:b/>
        </w:rPr>
        <w:t xml:space="preserve">1.1.</w:t>
      </w:r>
      <w:r>
        <w:rPr>
          <w:rFonts w:ascii="Arial" w:hAnsi="Arial" w:cs="Arial"/>
        </w:rPr>
        <w:t xml:space="preserve"> A presente Ata tem por objeto o </w:t>
      </w:r>
      <w:r>
        <w:rPr>
          <w:rFonts w:ascii="Arial" w:hAnsi="Arial" w:cs="Arial"/>
          <w:b/>
        </w:rPr>
        <w:t xml:space="preserve">REGIST</w:t>
      </w:r>
      <w:r>
        <w:rPr>
          <w:rFonts w:ascii="Arial" w:hAnsi="Arial" w:cs="Arial"/>
          <w:b/>
        </w:rPr>
        <w:t xml:space="preserve">RO DE PREÇOS PARA FUTURA E EVENTUAL CONTRATAÇÃO DE SERVIÇOS FUNERÁRIOS DE TRANSLADO E TANATOPRAXIA, DESTINADOS AO ATENDIMENTO DAS NECESSIDA-DES DE FAMÍLIAS EM SITUAÇÃO DE VUL-NERABILIDADE SOCIOECONÔMICA, ASSISTIDAS PELA SECRETARIA MUNICIPAL DE PROMOÇÃO E A</w:t>
      </w:r>
      <w:r>
        <w:rPr>
          <w:rFonts w:ascii="Arial" w:hAnsi="Arial" w:cs="Arial"/>
          <w:b/>
        </w:rPr>
        <w:t xml:space="preserve">SSISTÊNCIA SOCIAL – SEMPRAS. A CONTRATAÇÃO BUSCA ASSEGURAR A PRESTAÇÃO TEMPESTIVA, CONTÍNUA E ADE-QUADA DOS SERVIÇOS, GARANTINDO DIGNIDADE NO ATENDIMENTO ÀS SITUAÇÕES DE ÓBITO, CONFORME ES-PECIFICAÇÕES E QUANTITATIVOS ESTABELECIDOS NO EDITAL E SEUS ANEXOS.</w:t>
      </w:r>
      <w:r/>
    </w:p>
    <w:p w14:paraId="7701F335" w14:textId="77777777">
      <w:pPr>
        <w:pBdr/>
        <w:spacing/>
        <w:ind/>
        <w:jc w:val="both"/>
        <w:rPr>
          <w:rFonts w:ascii="Arial" w:hAnsi="Arial" w:cs="Arial"/>
        </w:rPr>
      </w:pPr>
      <w:r>
        <w:rPr>
          <w:rFonts w:ascii="Arial" w:hAnsi="Arial" w:cs="Arial"/>
        </w:rPr>
      </w:r>
      <w:r>
        <w:rPr>
          <w:rFonts w:ascii="Arial" w:hAnsi="Arial" w:cs="Arial"/>
        </w:rPr>
      </w:r>
    </w:p>
    <w:p w14:paraId="20DC3FA7" w14:textId="77777777">
      <w:pPr>
        <w:widowControl w:val="false"/>
        <w:pBdr/>
        <w:tabs>
          <w:tab w:val="center" w:leader="none" w:pos="4779"/>
          <w:tab w:val="right" w:leader="none" w:pos="9198"/>
        </w:tabs>
        <w:spacing w:line="276" w:lineRule="auto"/>
        <w:ind w:right="-28"/>
        <w:jc w:val="both"/>
        <w:rPr/>
      </w:pPr>
      <w:r>
        <w:rPr>
          <w:rFonts w:ascii="Arial" w:hAnsi="Arial" w:cs="Arial"/>
          <w:b/>
        </w:rPr>
        <w:t xml:space="preserve">CLÁUSULA SEGUNDA – DA VIGÊNCIA da ARP:</w:t>
      </w:r>
      <w:r/>
    </w:p>
    <w:p w14:paraId="3C82A5D6" w14:textId="77777777">
      <w:pPr>
        <w:widowControl w:val="false"/>
        <w:pBdr/>
        <w:tabs>
          <w:tab w:val="center" w:leader="none" w:pos="4779"/>
          <w:tab w:val="right" w:leader="none" w:pos="9198"/>
        </w:tabs>
        <w:spacing w:line="276" w:lineRule="auto"/>
        <w:ind w:right="-28"/>
        <w:jc w:val="both"/>
        <w:rPr>
          <w:rFonts w:ascii="Arial" w:hAnsi="Arial" w:cs="Arial"/>
          <w:b/>
        </w:rPr>
      </w:pPr>
      <w:r>
        <w:rPr>
          <w:rFonts w:ascii="Arial" w:hAnsi="Arial" w:cs="Arial"/>
          <w:b/>
        </w:rPr>
      </w:r>
      <w:r>
        <w:rPr>
          <w:rFonts w:ascii="Arial" w:hAnsi="Arial" w:cs="Arial"/>
          <w:b/>
        </w:rPr>
      </w:r>
    </w:p>
    <w:p w14:paraId="7B20D71C" w14:textId="77777777">
      <w:pPr>
        <w:pBdr/>
        <w:spacing/>
        <w:ind/>
        <w:jc w:val="both"/>
        <w:rPr/>
      </w:pPr>
      <w:r>
        <w:rPr>
          <w:rFonts w:ascii="Arial" w:hAnsi="Arial" w:cs="Arial"/>
          <w:b/>
        </w:rPr>
        <w:t xml:space="preserve">2.1.</w:t>
      </w:r>
      <w:r>
        <w:rPr>
          <w:rFonts w:ascii="Arial" w:hAnsi="Arial" w:cs="Arial"/>
        </w:rPr>
        <w:t xml:space="preserve"> Em conformidade com o disposto no Decreto Municipal nº 11.685/2023, especialmente após a alteração promovida pelo art. 1º, que conferiu nova redação ao art. 303, a vigência da Ata de Registro de Preços será de 01 (um) ano, podendo ser prorrogada por igual</w:t>
      </w:r>
      <w:r>
        <w:rPr>
          <w:rFonts w:ascii="Arial" w:hAnsi="Arial" w:cs="Arial"/>
        </w:rPr>
        <w:t xml:space="preserve"> período, desde que comprovada a vantajosidade dos preços registrados para a Administração. Ainda, nos termos do §2º-A do referido artigo, havendo prorrogação da vigência da Ata, fica autorizada a renovação do quantitativo originalmente registrado, mediant</w:t>
      </w:r>
      <w:r>
        <w:rPr>
          <w:rFonts w:ascii="Arial" w:hAnsi="Arial" w:cs="Arial"/>
        </w:rPr>
        <w:t xml:space="preserve">e comprovação de que os preços permanecem vantajosos e desde que haja anuência expressa do fornecedor detentor do registro.</w:t>
      </w:r>
      <w:r/>
    </w:p>
    <w:p w14:paraId="35E93B3E" w14:textId="77777777">
      <w:pPr>
        <w:pBdr/>
        <w:spacing/>
        <w:ind/>
        <w:jc w:val="both"/>
        <w:rPr>
          <w:rFonts w:ascii="Arial" w:hAnsi="Arial" w:cs="Arial"/>
        </w:rPr>
      </w:pPr>
      <w:r>
        <w:rPr>
          <w:rFonts w:ascii="Arial" w:hAnsi="Arial" w:cs="Arial"/>
        </w:rPr>
      </w:r>
      <w:r>
        <w:rPr>
          <w:rFonts w:ascii="Arial" w:hAnsi="Arial" w:cs="Arial"/>
        </w:rPr>
      </w:r>
    </w:p>
    <w:p w14:paraId="4F928CEB" w14:textId="77777777">
      <w:pPr>
        <w:pBdr/>
        <w:spacing/>
        <w:ind/>
        <w:jc w:val="both"/>
        <w:rPr/>
      </w:pPr>
      <w:r>
        <w:rPr>
          <w:rFonts w:ascii="Arial" w:hAnsi="Arial" w:cs="Arial"/>
          <w:b/>
        </w:rPr>
        <w:t xml:space="preserve">2.2.</w:t>
      </w:r>
      <w:r>
        <w:rPr>
          <w:rFonts w:ascii="Arial" w:hAnsi="Arial" w:cs="Arial"/>
        </w:rPr>
        <w:t xml:space="preserve"> O contrato decorrente da presente ata terá a vigência, modelo de gestão e demais aspectos alusivos à contratos estipulados, conforme Termo de Referência (anexo I).</w:t>
      </w:r>
      <w:r/>
    </w:p>
    <w:p w14:paraId="4434F394" w14:textId="77777777">
      <w:pPr>
        <w:widowControl w:val="false"/>
        <w:pBdr/>
        <w:tabs>
          <w:tab w:val="center" w:leader="none" w:pos="4779"/>
          <w:tab w:val="right" w:leader="none" w:pos="9198"/>
        </w:tabs>
        <w:spacing w:line="276" w:lineRule="auto"/>
        <w:ind w:right="-28"/>
        <w:jc w:val="both"/>
        <w:rPr>
          <w:rFonts w:ascii="Arial" w:hAnsi="Arial" w:cs="Arial"/>
          <w:b/>
        </w:rPr>
      </w:pPr>
      <w:r>
        <w:rPr>
          <w:rFonts w:ascii="Arial" w:hAnsi="Arial" w:cs="Arial"/>
          <w:b/>
        </w:rPr>
      </w:r>
      <w:r>
        <w:rPr>
          <w:rFonts w:ascii="Arial" w:hAnsi="Arial" w:cs="Arial"/>
          <w:b/>
        </w:rPr>
      </w:r>
    </w:p>
    <w:p w14:paraId="3E71574C" w14:textId="77777777">
      <w:pPr>
        <w:widowControl w:val="false"/>
        <w:pBdr/>
        <w:tabs>
          <w:tab w:val="center" w:leader="none" w:pos="4779"/>
          <w:tab w:val="right" w:leader="none" w:pos="9198"/>
        </w:tabs>
        <w:spacing w:line="276" w:lineRule="auto"/>
        <w:ind w:right="-28"/>
        <w:jc w:val="both"/>
        <w:rPr/>
      </w:pPr>
      <w:r>
        <w:rPr>
          <w:rFonts w:ascii="Arial" w:hAnsi="Arial" w:cs="Arial"/>
          <w:b/>
        </w:rPr>
        <w:t xml:space="preserve">CLÁUSULA TERCEIRA – DO PREÇO REGISTRADO E DA DIFERENÇA PERCENTUAL:</w:t>
      </w:r>
      <w:r/>
    </w:p>
    <w:p w14:paraId="1D2ED2FB" w14:textId="77777777">
      <w:pPr>
        <w:widowControl w:val="false"/>
        <w:pBdr/>
        <w:tabs>
          <w:tab w:val="center" w:leader="none" w:pos="4779"/>
          <w:tab w:val="right" w:leader="none" w:pos="9198"/>
        </w:tabs>
        <w:spacing w:line="276" w:lineRule="auto"/>
        <w:ind w:right="-28"/>
        <w:jc w:val="both"/>
        <w:rPr>
          <w:rFonts w:ascii="Arial" w:hAnsi="Arial" w:cs="Arial"/>
          <w:b/>
        </w:rPr>
      </w:pPr>
      <w:r>
        <w:rPr>
          <w:rFonts w:ascii="Arial" w:hAnsi="Arial" w:cs="Arial"/>
          <w:b/>
        </w:rPr>
      </w:r>
      <w:r>
        <w:rPr>
          <w:rFonts w:ascii="Arial" w:hAnsi="Arial" w:cs="Arial"/>
          <w:b/>
        </w:rPr>
      </w:r>
    </w:p>
    <w:p w14:paraId="2860AEE4" w14:textId="77777777">
      <w:pPr>
        <w:widowControl w:val="false"/>
        <w:pBdr/>
        <w:tabs>
          <w:tab w:val="center" w:leader="none" w:pos="4779"/>
          <w:tab w:val="right" w:leader="none" w:pos="9198"/>
        </w:tabs>
        <w:spacing w:line="276" w:lineRule="auto"/>
        <w:ind w:right="-28"/>
        <w:jc w:val="both"/>
        <w:rPr/>
      </w:pPr>
      <w:r>
        <w:rPr>
          <w:rFonts w:ascii="Arial" w:hAnsi="Arial" w:cs="Arial"/>
          <w:b/>
        </w:rPr>
        <w:t xml:space="preserve">3.1.</w:t>
      </w:r>
      <w:r>
        <w:rPr>
          <w:rFonts w:ascii="Arial" w:hAnsi="Arial" w:cs="Arial"/>
        </w:rPr>
        <w:t xml:space="preserve"> O(s) preço(s), a(s) marca(s), a(s) quantidade(s) e a(s) especificação(ões) do(s) produto(s) a ser(em) fornecido(s) encontram-se indicados no (Anexo II </w:t>
      </w:r>
      <w:r>
        <w:rPr>
          <w:rFonts w:ascii="Arial" w:hAnsi="Arial" w:cs="Arial"/>
          <w:color w:val="231f20"/>
        </w:rPr>
        <w:t xml:space="preserve">Informações sobre os produtos registrados)</w:t>
      </w:r>
      <w:r>
        <w:rPr>
          <w:rFonts w:ascii="Arial" w:hAnsi="Arial" w:cs="Arial"/>
        </w:rPr>
        <w:t xml:space="preserve"> desta ARP.</w:t>
      </w:r>
      <w:r/>
    </w:p>
    <w:p w14:paraId="20223427" w14:textId="77777777">
      <w:pPr>
        <w:widowControl w:val="false"/>
        <w:pBdr/>
        <w:tabs>
          <w:tab w:val="center" w:leader="none" w:pos="4779"/>
          <w:tab w:val="right" w:leader="none" w:pos="9198"/>
        </w:tabs>
        <w:spacing w:line="276" w:lineRule="auto"/>
        <w:ind w:right="-28"/>
        <w:jc w:val="both"/>
        <w:rPr>
          <w:rFonts w:ascii="Arial" w:hAnsi="Arial" w:cs="Arial"/>
        </w:rPr>
      </w:pPr>
      <w:r>
        <w:rPr>
          <w:rFonts w:ascii="Arial" w:hAnsi="Arial" w:cs="Arial"/>
        </w:rPr>
      </w:r>
      <w:r>
        <w:rPr>
          <w:rFonts w:ascii="Arial" w:hAnsi="Arial" w:cs="Arial"/>
        </w:rPr>
      </w:r>
    </w:p>
    <w:p w14:paraId="5B376F0B" w14:textId="77777777">
      <w:pPr>
        <w:widowControl w:val="false"/>
        <w:pBdr/>
        <w:tabs>
          <w:tab w:val="center" w:leader="none" w:pos="4779"/>
          <w:tab w:val="right" w:leader="none" w:pos="9198"/>
        </w:tabs>
        <w:spacing w:line="276" w:lineRule="auto"/>
        <w:ind w:right="-28"/>
        <w:jc w:val="both"/>
        <w:rPr/>
      </w:pPr>
      <w:r>
        <w:rPr>
          <w:rFonts w:ascii="Arial" w:hAnsi="Arial" w:cs="Arial"/>
          <w:b/>
        </w:rPr>
        <w:t xml:space="preserve">3.2.</w:t>
      </w:r>
      <w:r>
        <w:rPr>
          <w:rFonts w:ascii="Arial" w:hAnsi="Arial" w:cs="Arial"/>
        </w:rPr>
        <w:t xml:space="preserve"> A(s) dif</w:t>
      </w:r>
      <w:r>
        <w:rPr>
          <w:rFonts w:ascii="Arial" w:hAnsi="Arial" w:cs="Arial"/>
        </w:rPr>
        <w:t xml:space="preserve">erença(s) percentual(is) entre o(s) valor(es) unitário(s) registrado(s) e o(s) valor(es) pesquisado(s) de cada produto, a(s) qual(is) deve(m), preferencialmente, ser(em) mantida(s) durante a vigência desta Ata, também está(ão) especificada(s) no (Anexo II </w:t>
      </w:r>
      <w:r>
        <w:rPr>
          <w:rFonts w:ascii="Arial" w:hAnsi="Arial" w:cs="Arial"/>
          <w:color w:val="231f20"/>
        </w:rPr>
        <w:t xml:space="preserve">Informações sobre os produtos registrados) </w:t>
      </w:r>
      <w:r>
        <w:rPr>
          <w:rFonts w:ascii="Arial" w:hAnsi="Arial" w:cs="Arial"/>
        </w:rPr>
        <w:t xml:space="preserve">desta ARP.</w:t>
      </w:r>
      <w:r/>
    </w:p>
    <w:p w14:paraId="78ABDFA5" w14:textId="77777777">
      <w:pPr>
        <w:widowControl w:val="false"/>
        <w:pBdr/>
        <w:tabs>
          <w:tab w:val="center" w:leader="none" w:pos="4779"/>
          <w:tab w:val="right" w:leader="none" w:pos="9198"/>
        </w:tabs>
        <w:spacing w:line="276" w:lineRule="auto"/>
        <w:ind w:right="-28"/>
        <w:jc w:val="both"/>
        <w:rPr>
          <w:rFonts w:ascii="Arial" w:hAnsi="Arial" w:cs="Arial"/>
        </w:rPr>
      </w:pPr>
      <w:r>
        <w:rPr>
          <w:rFonts w:ascii="Arial" w:hAnsi="Arial" w:cs="Arial"/>
        </w:rPr>
      </w:r>
      <w:r>
        <w:rPr>
          <w:rFonts w:ascii="Arial" w:hAnsi="Arial" w:cs="Arial"/>
        </w:rPr>
      </w:r>
    </w:p>
    <w:p w14:paraId="74AFB74C" w14:textId="77777777">
      <w:pPr>
        <w:widowControl w:val="false"/>
        <w:pBdr/>
        <w:tabs>
          <w:tab w:val="center" w:leader="none" w:pos="4779"/>
          <w:tab w:val="right" w:leader="none" w:pos="9198"/>
        </w:tabs>
        <w:spacing w:line="276" w:lineRule="auto"/>
        <w:ind w:right="-28"/>
        <w:jc w:val="both"/>
        <w:rPr/>
      </w:pPr>
      <w:r>
        <w:rPr>
          <w:rFonts w:ascii="Arial" w:hAnsi="Arial" w:cs="Arial"/>
          <w:b/>
        </w:rPr>
        <w:t xml:space="preserve">CLÁUSULA QUARTA – DO VALOR:</w:t>
      </w:r>
      <w:r/>
    </w:p>
    <w:p w14:paraId="1417D047" w14:textId="77777777">
      <w:pPr>
        <w:widowControl w:val="false"/>
        <w:pBdr/>
        <w:tabs>
          <w:tab w:val="center" w:leader="none" w:pos="4779"/>
          <w:tab w:val="right" w:leader="none" w:pos="9198"/>
        </w:tabs>
        <w:spacing w:line="276" w:lineRule="auto"/>
        <w:ind w:right="-28"/>
        <w:jc w:val="both"/>
        <w:rPr>
          <w:rFonts w:ascii="Arial" w:hAnsi="Arial" w:cs="Arial"/>
          <w:b/>
        </w:rPr>
      </w:pPr>
      <w:r>
        <w:rPr>
          <w:rFonts w:ascii="Arial" w:hAnsi="Arial" w:cs="Arial"/>
          <w:b/>
        </w:rPr>
      </w:r>
      <w:r>
        <w:rPr>
          <w:rFonts w:ascii="Arial" w:hAnsi="Arial" w:cs="Arial"/>
          <w:b/>
        </w:rPr>
      </w:r>
    </w:p>
    <w:p w14:paraId="709DFC65" w14:textId="77777777">
      <w:pPr>
        <w:widowControl w:val="false"/>
        <w:pBdr/>
        <w:tabs>
          <w:tab w:val="center" w:leader="none" w:pos="4779"/>
          <w:tab w:val="right" w:leader="none" w:pos="9198"/>
        </w:tabs>
        <w:spacing w:line="276" w:lineRule="auto"/>
        <w:ind w:right="-28"/>
        <w:jc w:val="both"/>
        <w:rPr/>
      </w:pPr>
      <w:r>
        <w:rPr>
          <w:rFonts w:ascii="Arial" w:hAnsi="Arial" w:cs="Arial"/>
          <w:b/>
        </w:rPr>
        <w:t xml:space="preserve">4.1.</w:t>
      </w:r>
      <w:r>
        <w:rPr>
          <w:rFonts w:ascii="Arial" w:hAnsi="Arial" w:cs="Arial"/>
        </w:rPr>
        <w:t xml:space="preserve"> O valor total estimado para as aquisições decorrentes da presente ARP perfaz o montante de R$ XXXXXXXXXX.</w:t>
      </w:r>
      <w:r/>
    </w:p>
    <w:p w14:paraId="77E8AF44" w14:textId="77777777">
      <w:pPr>
        <w:widowControl w:val="false"/>
        <w:pBdr/>
        <w:tabs>
          <w:tab w:val="center" w:leader="none" w:pos="4779"/>
          <w:tab w:val="right" w:leader="none" w:pos="9198"/>
        </w:tabs>
        <w:spacing w:line="276" w:lineRule="auto"/>
        <w:ind w:right="-28"/>
        <w:jc w:val="both"/>
        <w:rPr>
          <w:rFonts w:ascii="Arial" w:hAnsi="Arial" w:cs="Arial"/>
          <w:b/>
        </w:rPr>
      </w:pPr>
      <w:r>
        <w:rPr>
          <w:rFonts w:ascii="Arial" w:hAnsi="Arial" w:cs="Arial"/>
          <w:b/>
        </w:rPr>
      </w:r>
      <w:r>
        <w:rPr>
          <w:rFonts w:ascii="Arial" w:hAnsi="Arial" w:cs="Arial"/>
          <w:b/>
        </w:rPr>
      </w:r>
    </w:p>
    <w:p w14:paraId="3498B838" w14:textId="77777777">
      <w:pPr>
        <w:widowControl w:val="false"/>
        <w:pBdr/>
        <w:tabs>
          <w:tab w:val="center" w:leader="none" w:pos="4779"/>
          <w:tab w:val="right" w:leader="none" w:pos="9198"/>
        </w:tabs>
        <w:spacing w:line="276" w:lineRule="auto"/>
        <w:ind w:right="-28"/>
        <w:jc w:val="both"/>
        <w:rPr/>
      </w:pPr>
      <w:r>
        <w:rPr>
          <w:rFonts w:ascii="Arial" w:hAnsi="Arial" w:cs="Arial"/>
          <w:b/>
        </w:rPr>
        <w:t xml:space="preserve">CLÁUSULA QUINTA:</w:t>
      </w:r>
      <w:r/>
    </w:p>
    <w:p w14:paraId="61E00133" w14:textId="77777777">
      <w:pPr>
        <w:widowControl w:val="false"/>
        <w:pBdr/>
        <w:tabs>
          <w:tab w:val="center" w:leader="none" w:pos="4779"/>
          <w:tab w:val="right" w:leader="none" w:pos="9198"/>
        </w:tabs>
        <w:spacing w:line="276" w:lineRule="auto"/>
        <w:ind w:right="-28"/>
        <w:jc w:val="both"/>
        <w:rPr>
          <w:rFonts w:ascii="Arial" w:hAnsi="Arial" w:cs="Arial"/>
          <w:b/>
        </w:rPr>
      </w:pPr>
      <w:r>
        <w:rPr>
          <w:rFonts w:ascii="Arial" w:hAnsi="Arial" w:cs="Arial"/>
          <w:b/>
        </w:rPr>
      </w:r>
      <w:r>
        <w:rPr>
          <w:rFonts w:ascii="Arial" w:hAnsi="Arial" w:cs="Arial"/>
          <w:b/>
        </w:rPr>
      </w:r>
    </w:p>
    <w:p w14:paraId="699AFEF5" w14:textId="77777777">
      <w:pPr>
        <w:widowControl w:val="false"/>
        <w:pBdr/>
        <w:tabs>
          <w:tab w:val="center" w:leader="none" w:pos="4779"/>
          <w:tab w:val="right" w:leader="none" w:pos="9198"/>
        </w:tabs>
        <w:spacing w:line="276" w:lineRule="auto"/>
        <w:ind w:right="-28"/>
        <w:jc w:val="both"/>
        <w:rPr>
          <w:rFonts w:ascii="Arial" w:hAnsi="Arial" w:cs="Arial"/>
          <w:b/>
        </w:rPr>
      </w:pPr>
      <w:r>
        <w:rPr>
          <w:rFonts w:ascii="Arial" w:hAnsi="Arial" w:cs="Arial"/>
          <w:b/>
        </w:rPr>
        <w:t xml:space="preserve">5.1. DO(S) ÓRGÃO(S) PARTICIPANTE(S): </w:t>
      </w:r>
      <w:r>
        <w:rPr>
          <w:rFonts w:ascii="Arial" w:hAnsi="Arial" w:cs="Arial"/>
          <w:b/>
        </w:rPr>
      </w:r>
    </w:p>
    <w:p w14:paraId="7A33D963" w14:textId="77777777">
      <w:pPr>
        <w:widowControl w:val="false"/>
        <w:pBdr/>
        <w:tabs>
          <w:tab w:val="center" w:leader="none" w:pos="4779"/>
          <w:tab w:val="right" w:leader="none" w:pos="9198"/>
        </w:tabs>
        <w:spacing w:line="276" w:lineRule="auto"/>
        <w:ind w:right="-28"/>
        <w:jc w:val="both"/>
        <w:rPr/>
      </w:pPr>
      <w:r/>
      <w:r/>
    </w:p>
    <w:p w14:paraId="3227A9BF" w14:textId="77777777">
      <w:pPr>
        <w:widowControl w:val="false"/>
        <w:pBdr/>
        <w:tabs>
          <w:tab w:val="center" w:leader="none" w:pos="4779"/>
          <w:tab w:val="right" w:leader="none" w:pos="9198"/>
        </w:tabs>
        <w:spacing w:line="276" w:lineRule="auto"/>
        <w:ind w:right="-28"/>
        <w:jc w:val="both"/>
        <w:rPr>
          <w:rFonts w:ascii="Arial" w:hAnsi="Arial" w:cs="Arial"/>
        </w:rPr>
      </w:pPr>
      <w:r>
        <w:rPr>
          <w:rFonts w:ascii="Arial" w:hAnsi="Arial" w:cs="Arial"/>
          <w:b/>
        </w:rPr>
        <w:t xml:space="preserve">5.1.1. </w:t>
      </w:r>
      <w:r>
        <w:rPr>
          <w:rFonts w:ascii="Arial" w:hAnsi="Arial" w:cs="Arial"/>
        </w:rPr>
        <w:t xml:space="preserve">A presente ARP é para suprir demandas dos órgãos e entidades municipais, abaixo citados:</w:t>
      </w:r>
      <w:r>
        <w:rPr>
          <w:rFonts w:ascii="Arial" w:hAnsi="Arial" w:cs="Arial"/>
        </w:rPr>
      </w:r>
    </w:p>
    <w:p w14:paraId="36A7C4C0" w14:textId="77777777">
      <w:pPr>
        <w:widowControl w:val="false"/>
        <w:pBdr/>
        <w:tabs>
          <w:tab w:val="center" w:leader="none" w:pos="4779"/>
          <w:tab w:val="right" w:leader="none" w:pos="9198"/>
        </w:tabs>
        <w:spacing w:line="276" w:lineRule="auto"/>
        <w:ind w:right="-28"/>
        <w:jc w:val="both"/>
        <w:rPr/>
      </w:pPr>
      <w:r/>
      <w:r/>
    </w:p>
    <w:tbl>
      <w:tblPr>
        <w:tblInd w:w="100" w:type="dxa"/>
        <w:tblW w:w="0" w:type="auto"/>
        <w:tblCellMar>
          <w:left w:w="15" w:type="dxa"/>
          <w:top w:w="15" w:type="dxa"/>
          <w:right w:w="15" w:type="dxa"/>
          <w:bottom w:w="15" w:type="dxa"/>
        </w:tblCellMar>
        <w:tblBorders/>
        <w:tblLook w:val="04A0" w:firstRow="1" w:lastRow="0" w:firstColumn="1" w:lastColumn="0" w:noHBand="0" w:noVBand="1"/>
      </w:tblPr>
      <w:tblGrid>
        <w:gridCol w:w="9946"/>
      </w:tblGrid>
      <w:tr>
        <w:trPr>
          <w:trHeight w:val="38"/>
        </w:trPr>
        <w:tc>
          <w:tcPr>
            <w:tcBorders>
              <w:top w:val="single" w:color="000000" w:sz="8" w:space="0"/>
              <w:left w:val="single" w:color="000000" w:sz="8" w:space="0"/>
              <w:bottom w:val="single" w:color="000000" w:sz="8" w:space="0"/>
              <w:right w:val="single" w:color="000000" w:sz="8" w:space="0"/>
            </w:tcBorders>
            <w:tcMar>
              <w:left w:w="100" w:type="dxa"/>
              <w:top w:w="100" w:type="dxa"/>
              <w:right w:w="100" w:type="dxa"/>
              <w:bottom w:w="100" w:type="dxa"/>
            </w:tcMar>
            <w:tcW w:w="10165" w:type="dxa"/>
            <w:textDirection w:val="lrTb"/>
            <w:noWrap w:val="false"/>
          </w:tcPr>
          <w:p w14:paraId="5D33D4B6" w14:textId="77777777">
            <w:pPr>
              <w:pBdr/>
              <w:spacing/>
              <w:ind/>
              <w:contextualSpacing w:val="true"/>
              <w:jc w:val="center"/>
              <w:rPr>
                <w:sz w:val="16"/>
                <w:szCs w:val="16"/>
                <w:lang w:eastAsia="pt-BR"/>
              </w:rPr>
            </w:pPr>
            <w:r>
              <w:rPr>
                <w:rFonts w:ascii="Arial" w:hAnsi="Arial" w:cs="Arial"/>
                <w:b/>
                <w:bCs/>
                <w:color w:val="000000"/>
                <w:sz w:val="16"/>
                <w:szCs w:val="16"/>
                <w:lang w:eastAsia="pt-BR"/>
              </w:rPr>
              <w:t xml:space="preserve">SECRETARIA REQUISITANTE</w:t>
            </w:r>
            <w:r>
              <w:rPr>
                <w:sz w:val="16"/>
                <w:szCs w:val="16"/>
                <w:lang w:eastAsia="pt-BR"/>
              </w:rPr>
            </w:r>
          </w:p>
        </w:tc>
      </w:tr>
      <w:tr>
        <w:trPr/>
        <w:tc>
          <w:tcPr>
            <w:tcBorders>
              <w:top w:val="single" w:color="000000" w:sz="8" w:space="0"/>
              <w:left w:val="single" w:color="000000" w:sz="8" w:space="0"/>
              <w:bottom w:val="single" w:color="000000" w:sz="8" w:space="0"/>
              <w:right w:val="single" w:color="000000" w:sz="8" w:space="0"/>
            </w:tcBorders>
            <w:tcMar>
              <w:left w:w="100" w:type="dxa"/>
              <w:top w:w="100" w:type="dxa"/>
              <w:right w:w="100" w:type="dxa"/>
              <w:bottom w:w="100" w:type="dxa"/>
            </w:tcMar>
            <w:tcW w:w="10165" w:type="dxa"/>
            <w:textDirection w:val="lrTb"/>
            <w:noWrap w:val="false"/>
          </w:tcPr>
          <w:p w14:paraId="0D855DCC" w14:textId="77777777">
            <w:pPr>
              <w:pBdr/>
              <w:spacing/>
              <w:ind/>
              <w:contextualSpacing w:val="true"/>
              <w:rPr>
                <w:sz w:val="16"/>
                <w:szCs w:val="16"/>
                <w:lang w:eastAsia="pt-BR"/>
              </w:rPr>
            </w:pPr>
            <w:r>
              <w:rPr>
                <w:rFonts w:ascii="Arial" w:hAnsi="Arial" w:cs="Arial"/>
                <w:color w:val="000000"/>
                <w:sz w:val="16"/>
                <w:szCs w:val="16"/>
                <w:lang w:eastAsia="pt-BR"/>
              </w:rPr>
              <w:t xml:space="preserve">SECRETARIA MUNICIPAL DE PROMOÇÃO E ASSISTENCIA SOCIAL</w:t>
            </w:r>
            <w:r>
              <w:rPr>
                <w:sz w:val="16"/>
                <w:szCs w:val="16"/>
                <w:lang w:eastAsia="pt-BR"/>
              </w:rPr>
            </w:r>
          </w:p>
        </w:tc>
      </w:tr>
    </w:tbl>
    <w:p w14:paraId="5B926C82" w14:textId="77777777">
      <w:pPr>
        <w:widowControl w:val="false"/>
        <w:pBdr/>
        <w:tabs>
          <w:tab w:val="center" w:leader="none" w:pos="4779"/>
          <w:tab w:val="right" w:leader="none" w:pos="9198"/>
        </w:tabs>
        <w:spacing w:line="276" w:lineRule="auto"/>
        <w:ind w:right="-28"/>
        <w:jc w:val="both"/>
        <w:rPr>
          <w:rFonts w:ascii="Arial" w:hAnsi="Arial" w:cs="Arial"/>
        </w:rPr>
      </w:pPr>
      <w:r>
        <w:rPr>
          <w:rFonts w:ascii="Arial" w:hAnsi="Arial" w:cs="Arial"/>
        </w:rPr>
      </w:r>
      <w:r>
        <w:rPr>
          <w:rFonts w:ascii="Arial" w:hAnsi="Arial" w:cs="Arial"/>
        </w:rPr>
      </w:r>
    </w:p>
    <w:p w14:paraId="1B59A766" w14:textId="77777777">
      <w:pPr>
        <w:pBdr/>
        <w:spacing/>
        <w:ind/>
        <w:jc w:val="both"/>
        <w:rPr/>
      </w:pPr>
      <w:r>
        <w:rPr>
          <w:rFonts w:ascii="Arial" w:hAnsi="Arial" w:cs="Arial"/>
          <w:b/>
        </w:rPr>
        <w:t xml:space="preserve">5.2. DA(S) DOTAÇÃO(ÕES) ORÇAMENTÁRIA(S):</w:t>
      </w:r>
      <w:r/>
    </w:p>
    <w:p w14:paraId="5977A44F" w14:textId="77777777">
      <w:pPr>
        <w:pBdr/>
        <w:spacing/>
        <w:ind/>
        <w:jc w:val="both"/>
        <w:rPr>
          <w:rFonts w:ascii="Arial" w:hAnsi="Arial" w:cs="Arial"/>
          <w:b/>
        </w:rPr>
      </w:pPr>
      <w:r>
        <w:rPr>
          <w:rFonts w:ascii="Arial" w:hAnsi="Arial" w:cs="Arial"/>
          <w:b/>
        </w:rPr>
      </w:r>
      <w:r>
        <w:rPr>
          <w:rFonts w:ascii="Arial" w:hAnsi="Arial" w:cs="Arial"/>
          <w:b/>
        </w:rPr>
      </w:r>
    </w:p>
    <w:p w14:paraId="5DE743A3" w14:textId="77777777">
      <w:pPr>
        <w:pBdr/>
        <w:spacing/>
        <w:ind/>
        <w:jc w:val="both"/>
        <w:rPr/>
      </w:pPr>
      <w:r>
        <w:rPr>
          <w:rFonts w:ascii="Arial" w:hAnsi="Arial" w:cs="Arial"/>
          <w:b/>
        </w:rPr>
        <w:t xml:space="preserve">5.2.1. </w:t>
      </w:r>
      <w:r>
        <w:rPr>
          <w:rFonts w:ascii="Arial" w:hAnsi="Arial" w:cs="Arial"/>
          <w:color w:val="231f20"/>
        </w:rPr>
        <w:t xml:space="preserve">Na licitação para registro de preços não é necessário indicar a dotação orçamentária ou qualquer outra informação da origem dos recursos orçamentários, que somente serão exigidas para a formalização do contrato ou outro instrumento hábil. (Art. 299, </w:t>
      </w:r>
      <w:r>
        <w:rPr>
          <w:rFonts w:ascii="Arial" w:hAnsi="Arial" w:cs="Arial"/>
          <w:color w:val="231f20"/>
          <w:sz w:val="21"/>
          <w:szCs w:val="21"/>
        </w:rPr>
        <w:t xml:space="preserve">§2º do </w:t>
      </w:r>
      <w:r>
        <w:rPr>
          <w:rFonts w:ascii="Arial" w:hAnsi="Arial" w:cs="Arial"/>
        </w:rPr>
        <w:t xml:space="preserve">Decreto Municipal 11.685/2023)</w:t>
      </w:r>
      <w:r/>
    </w:p>
    <w:p w14:paraId="0C1AB55C" w14:textId="77777777">
      <w:pPr>
        <w:pBdr/>
        <w:spacing/>
        <w:ind/>
        <w:jc w:val="both"/>
        <w:rPr>
          <w:rFonts w:ascii="Arial" w:hAnsi="Arial" w:cs="Arial"/>
          <w:b/>
          <w:color w:val="231f20"/>
          <w:sz w:val="21"/>
          <w:szCs w:val="21"/>
        </w:rPr>
      </w:pPr>
      <w:r>
        <w:rPr>
          <w:rFonts w:ascii="Arial" w:hAnsi="Arial" w:cs="Arial"/>
          <w:b/>
          <w:color w:val="231f20"/>
          <w:sz w:val="21"/>
          <w:szCs w:val="21"/>
        </w:rPr>
      </w:r>
      <w:r>
        <w:rPr>
          <w:rFonts w:ascii="Arial" w:hAnsi="Arial" w:cs="Arial"/>
          <w:b/>
          <w:color w:val="231f20"/>
          <w:sz w:val="21"/>
          <w:szCs w:val="21"/>
        </w:rPr>
      </w:r>
    </w:p>
    <w:p w14:paraId="77AC4889" w14:textId="77777777">
      <w:pPr>
        <w:pBdr/>
        <w:spacing/>
        <w:ind/>
        <w:jc w:val="both"/>
        <w:rPr/>
      </w:pPr>
      <w:r>
        <w:rPr>
          <w:rFonts w:ascii="Arial" w:hAnsi="Arial" w:cs="Arial"/>
          <w:b/>
        </w:rPr>
        <w:t xml:space="preserve">CLÁUSULA SEXTA – DO SISTEMA DO REGISTRO DE PREÇOS:</w:t>
      </w:r>
      <w:r/>
    </w:p>
    <w:p w14:paraId="27679FDD" w14:textId="77777777">
      <w:pPr>
        <w:pBdr/>
        <w:spacing/>
        <w:ind/>
        <w:jc w:val="both"/>
        <w:rPr>
          <w:rFonts w:ascii="Arial" w:hAnsi="Arial" w:cs="Arial"/>
          <w:b/>
          <w:color w:val="231f20"/>
        </w:rPr>
      </w:pPr>
      <w:r>
        <w:rPr>
          <w:rFonts w:ascii="Arial" w:hAnsi="Arial" w:cs="Arial"/>
          <w:b/>
          <w:color w:val="231f20"/>
        </w:rPr>
      </w:r>
      <w:r>
        <w:rPr>
          <w:rFonts w:ascii="Arial" w:hAnsi="Arial" w:cs="Arial"/>
          <w:b/>
          <w:color w:val="231f20"/>
        </w:rPr>
      </w:r>
    </w:p>
    <w:p w14:paraId="4D6CB0EF" w14:textId="77777777">
      <w:pPr>
        <w:pBdr/>
        <w:spacing/>
        <w:ind/>
        <w:jc w:val="both"/>
        <w:rPr/>
      </w:pPr>
      <w:r>
        <w:rPr>
          <w:rFonts w:ascii="Arial" w:hAnsi="Arial" w:cs="Arial"/>
          <w:b/>
          <w:color w:val="231f20"/>
        </w:rPr>
        <w:t xml:space="preserve">6.1.</w:t>
      </w:r>
      <w:r>
        <w:rPr>
          <w:rFonts w:ascii="Arial" w:hAnsi="Arial" w:cs="Arial"/>
          <w:color w:val="231f20"/>
        </w:rPr>
        <w:t xml:space="preserve"> O Sistema de Registro de Preços regula-se pelas normas e procedimentos previstos na Lei Federal nº 14.133/21, no Decreto Municipal n° 11.685/2023 e nas demais normas complementares.</w:t>
      </w:r>
      <w:r/>
    </w:p>
    <w:p w14:paraId="5DCC9DE2"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0DD1D7DF" w14:textId="77777777">
      <w:pPr>
        <w:pBdr/>
        <w:spacing/>
        <w:ind/>
        <w:jc w:val="both"/>
        <w:rPr/>
      </w:pPr>
      <w:r/>
      <w:bookmarkStart w:id="45" w:name="_30j0zll"/>
      <w:r/>
      <w:bookmarkEnd w:id="45"/>
      <w:r>
        <w:rPr>
          <w:rFonts w:ascii="Arial" w:hAnsi="Arial" w:cs="Arial"/>
          <w:b/>
          <w:color w:val="231f20"/>
        </w:rPr>
        <w:t xml:space="preserve">6.2.</w:t>
      </w:r>
      <w:r>
        <w:rPr>
          <w:rFonts w:ascii="Arial" w:hAnsi="Arial" w:cs="Arial"/>
          <w:color w:val="231f20"/>
        </w:rPr>
        <w:t xml:space="preserve"> Uma vez registrados o(s) preço(s), a Administração poderá convocar o Detentor a fornecer o(s) produto(s) respectivo(s), na forma e condições fixadas no edital, anexos e nesta ARP.</w:t>
      </w:r>
      <w:r/>
    </w:p>
    <w:p w14:paraId="465347A6"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03F089A5" w14:textId="77777777">
      <w:pPr>
        <w:pBdr/>
        <w:spacing/>
        <w:ind/>
        <w:jc w:val="both"/>
        <w:rPr/>
      </w:pPr>
      <w:r>
        <w:rPr>
          <w:rFonts w:ascii="Arial" w:hAnsi="Arial" w:cs="Arial"/>
          <w:b/>
          <w:color w:val="231f20"/>
        </w:rPr>
        <w:t xml:space="preserve">6.3.</w:t>
      </w:r>
      <w:r>
        <w:rPr>
          <w:rFonts w:ascii="Arial" w:hAnsi="Arial" w:cs="Arial"/>
          <w:color w:val="231f20"/>
        </w:rPr>
        <w:t xml:space="preserve"> A existência de preço(s) registrado</w:t>
      </w:r>
      <w:r>
        <w:rPr>
          <w:rFonts w:ascii="Arial" w:hAnsi="Arial" w:cs="Arial"/>
          <w:color w:val="231f20"/>
        </w:rPr>
        <w:t xml:space="preserve">(s) implicará compromisso de fornecimento nas condições estabelecidas no instrumento convocatório e na sua proposta, mas não obrigará a contratação, facultada a realização de licitação específica para a aquisição pretendida, desde que devidamente motivada.</w:t>
      </w:r>
      <w:r/>
    </w:p>
    <w:p w14:paraId="3DDD265B"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6815395D" w14:textId="77777777">
      <w:pPr>
        <w:pBdr/>
        <w:spacing/>
        <w:ind/>
        <w:jc w:val="both"/>
        <w:rPr/>
      </w:pPr>
      <w:r>
        <w:rPr>
          <w:rFonts w:ascii="Arial" w:hAnsi="Arial" w:cs="Arial"/>
          <w:b/>
          <w:color w:val="231f20"/>
        </w:rPr>
        <w:t xml:space="preserve">6.4.</w:t>
      </w:r>
      <w:r>
        <w:rPr>
          <w:rFonts w:ascii="Arial" w:hAnsi="Arial" w:cs="Arial"/>
          <w:color w:val="231f20"/>
        </w:rPr>
        <w:t xml:space="preserve"> É vedada a aquisição do(s) produto(s) por valor(es) superior(es) ao(s) registrado(s) vigente(s).</w:t>
      </w:r>
      <w:r/>
    </w:p>
    <w:p w14:paraId="1146897E"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5A155F0B" w14:textId="77777777">
      <w:pPr>
        <w:pBdr/>
        <w:spacing/>
        <w:ind/>
        <w:jc w:val="both"/>
        <w:rPr/>
      </w:pPr>
      <w:r>
        <w:rPr>
          <w:rFonts w:ascii="Arial" w:hAnsi="Arial" w:cs="Arial"/>
          <w:b/>
          <w:color w:val="231f20"/>
        </w:rPr>
        <w:t xml:space="preserve">6.5.</w:t>
      </w:r>
      <w:r>
        <w:rPr>
          <w:rFonts w:ascii="Arial" w:hAnsi="Arial" w:cs="Arial"/>
          <w:color w:val="231f20"/>
        </w:rPr>
        <w:t xml:space="preserve"> O Detentor fica obrigado a atender a todos os pedidos de fornecimento efetuados durante a vigência do Registro de Preços.</w:t>
      </w:r>
      <w:r/>
    </w:p>
    <w:p w14:paraId="00EC12A6"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7B94221F" w14:textId="77777777">
      <w:pPr>
        <w:pBdr/>
        <w:spacing/>
        <w:ind/>
        <w:jc w:val="both"/>
        <w:rPr/>
      </w:pPr>
      <w:r>
        <w:rPr>
          <w:rFonts w:ascii="Arial" w:hAnsi="Arial" w:cs="Arial"/>
          <w:b/>
          <w:color w:val="231f20"/>
        </w:rPr>
        <w:t xml:space="preserve">6.6</w:t>
      </w:r>
      <w:r>
        <w:rPr>
          <w:rFonts w:ascii="Arial" w:hAnsi="Arial" w:cs="Arial"/>
          <w:color w:val="231f20"/>
        </w:rPr>
        <w:t xml:space="preserve">. O Detentor deverá garantir a qualidade do(s) produto(s) entregue(s) mesmo após o vencimento da ARP.</w:t>
      </w:r>
      <w:r/>
    </w:p>
    <w:p w14:paraId="7CEE0BD3"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5348A01A" w14:textId="77777777">
      <w:pPr>
        <w:pBdr/>
        <w:spacing/>
        <w:ind/>
        <w:jc w:val="both"/>
        <w:rPr/>
      </w:pPr>
      <w:r>
        <w:rPr>
          <w:rFonts w:ascii="Arial" w:hAnsi="Arial" w:cs="Arial"/>
          <w:b/>
        </w:rPr>
        <w:t xml:space="preserve">CLÁUSULA SÉTIMA – DA EXECUÇÃO DA ATA:</w:t>
      </w:r>
      <w:r/>
    </w:p>
    <w:p w14:paraId="2432E86D" w14:textId="77777777">
      <w:pPr>
        <w:pBdr/>
        <w:spacing/>
        <w:ind/>
        <w:jc w:val="both"/>
        <w:rPr>
          <w:rFonts w:ascii="Arial" w:hAnsi="Arial" w:cs="Arial"/>
          <w:b/>
          <w:color w:val="231f20"/>
        </w:rPr>
      </w:pPr>
      <w:r>
        <w:rPr>
          <w:rFonts w:ascii="Arial" w:hAnsi="Arial" w:cs="Arial"/>
          <w:b/>
          <w:color w:val="231f20"/>
        </w:rPr>
      </w:r>
      <w:r>
        <w:rPr>
          <w:rFonts w:ascii="Arial" w:hAnsi="Arial" w:cs="Arial"/>
          <w:b/>
          <w:color w:val="231f20"/>
        </w:rPr>
      </w:r>
    </w:p>
    <w:p w14:paraId="500B756A" w14:textId="77777777">
      <w:pPr>
        <w:pBdr/>
        <w:spacing/>
        <w:ind/>
        <w:jc w:val="both"/>
        <w:rPr/>
      </w:pPr>
      <w:r>
        <w:rPr>
          <w:rFonts w:ascii="Arial" w:hAnsi="Arial" w:cs="Arial"/>
          <w:b/>
          <w:color w:val="231f20"/>
        </w:rPr>
        <w:t xml:space="preserve">7.1.</w:t>
      </w:r>
      <w:r>
        <w:rPr>
          <w:rFonts w:ascii="Arial" w:hAnsi="Arial" w:cs="Arial"/>
          <w:color w:val="231f20"/>
        </w:rPr>
        <w:t xml:space="preserve"> A contratação do objeto licitado será efetivada mediante formalização de contrato, vinculado à presente Ata de Registro de Preços e em conformidade com a legislação pertinente, bem como Decreto Municipal nº 11.685/2023.</w:t>
      </w:r>
      <w:r/>
    </w:p>
    <w:p w14:paraId="62A438D9"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5125D8C3" w14:textId="77777777">
      <w:pPr>
        <w:pBdr/>
        <w:spacing/>
        <w:ind/>
        <w:jc w:val="both"/>
        <w:rPr/>
      </w:pPr>
      <w:r>
        <w:rPr>
          <w:rFonts w:ascii="Arial" w:hAnsi="Arial" w:cs="Arial"/>
          <w:b/>
          <w:color w:val="231f20"/>
        </w:rPr>
        <w:t xml:space="preserve">7.2.</w:t>
      </w:r>
      <w:r>
        <w:rPr>
          <w:rFonts w:ascii="Arial" w:hAnsi="Arial" w:cs="Arial"/>
          <w:color w:val="231f20"/>
        </w:rPr>
        <w:t xml:space="preserve"> Após autorização, a Gerência ................. ou equivalente de cada um dos Órgãos Participantes do Registro encaminhará Nota de Empenho ou outro instrumento equivalente ao Detentor da ARP, via e-mail ou outro meio de comunicação eficaz.</w:t>
      </w:r>
      <w:r/>
    </w:p>
    <w:p w14:paraId="33F99B50"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09C82A2D" w14:textId="77777777">
      <w:pPr>
        <w:pBdr/>
        <w:spacing/>
        <w:ind/>
        <w:jc w:val="both"/>
        <w:rPr/>
      </w:pPr>
      <w:r>
        <w:rPr>
          <w:rFonts w:ascii="Arial" w:hAnsi="Arial" w:cs="Arial"/>
          <w:b/>
          <w:color w:val="231f20"/>
        </w:rPr>
        <w:t xml:space="preserve">7.2.1.</w:t>
      </w:r>
      <w:r>
        <w:rPr>
          <w:rFonts w:ascii="Arial" w:hAnsi="Arial" w:cs="Arial"/>
          <w:color w:val="231f20"/>
        </w:rPr>
        <w:t xml:space="preserve"> A comprovação de que o Detentor recebeu a Nota de Empenho ou outro instrumento equivalente deverá ocorrer via e-mail ou outro meio de comunicação eficaz.</w:t>
      </w:r>
      <w:r/>
    </w:p>
    <w:p w14:paraId="5F06B937"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1FFC6E04" w14:textId="77777777">
      <w:pPr>
        <w:pBdr/>
        <w:spacing/>
        <w:ind/>
        <w:jc w:val="both"/>
        <w:rPr/>
      </w:pPr>
      <w:r>
        <w:rPr>
          <w:rFonts w:ascii="Arial" w:hAnsi="Arial" w:cs="Arial"/>
          <w:b/>
          <w:color w:val="231f20"/>
        </w:rPr>
        <w:t xml:space="preserve">7.3.</w:t>
      </w:r>
      <w:r>
        <w:rPr>
          <w:rFonts w:ascii="Arial" w:hAnsi="Arial" w:cs="Arial"/>
          <w:color w:val="231f20"/>
        </w:rPr>
        <w:t xml:space="preserve"> Na hipótese de as Gerências não conseguirem um meio eficaz para envio da Nota de Empenho</w:t>
      </w:r>
      <w:r>
        <w:rPr>
          <w:rFonts w:ascii="Arial" w:hAnsi="Arial" w:cs="Arial"/>
          <w:color w:val="231f20"/>
        </w:rPr>
        <w:t xml:space="preserve"> ou outro instrumento equivalente ao Detentor, deverá ser publicado um aviso no Diário Oficial do Município - DIORONDON, para que o Detentor retire a Nota de Empenho ou outro instrumento hábil no prazo máximo de 03 (três) dias úteis contados da convocação.</w:t>
      </w:r>
      <w:r/>
    </w:p>
    <w:p w14:paraId="32154CAC"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762B2551" w14:textId="77777777">
      <w:pPr>
        <w:pBdr/>
        <w:spacing/>
        <w:ind/>
        <w:jc w:val="both"/>
        <w:rPr/>
      </w:pPr>
      <w:r>
        <w:rPr>
          <w:rFonts w:ascii="Arial" w:hAnsi="Arial" w:cs="Arial"/>
          <w:b/>
          <w:color w:val="231f20"/>
        </w:rPr>
        <w:t xml:space="preserve">7.4.</w:t>
      </w:r>
      <w:r>
        <w:rPr>
          <w:rFonts w:ascii="Arial" w:hAnsi="Arial" w:cs="Arial"/>
          <w:color w:val="231f20"/>
        </w:rPr>
        <w:t xml:space="preserve"> A critério da Gerência solicitante, quando se fizer necessária a verificação </w:t>
      </w:r>
      <w:r>
        <w:rPr>
          <w:rFonts w:ascii="Arial" w:hAnsi="Arial" w:cs="Arial"/>
          <w:color w:val="231f20"/>
        </w:rPr>
        <w:t xml:space="preserve">da qualidade e do atendimento às legislações específicas pertinentes, a Administração determinará as análises necessárias e prazos para a entrega do(s) produto(s), com ônus para o Detentor, ficando suspenso o pagamento da Nota Fiscal/Fatura correspondente.</w:t>
      </w:r>
      <w:r/>
    </w:p>
    <w:p w14:paraId="70439586" w14:textId="77777777">
      <w:pPr>
        <w:pBdr/>
        <w:spacing/>
        <w:ind/>
        <w:jc w:val="both"/>
        <w:rPr>
          <w:rFonts w:ascii="Arial" w:hAnsi="Arial" w:cs="Arial"/>
          <w:b/>
          <w:color w:val="231f20"/>
        </w:rPr>
      </w:pPr>
      <w:r>
        <w:rPr>
          <w:rFonts w:ascii="Arial" w:hAnsi="Arial" w:cs="Arial"/>
          <w:b/>
          <w:color w:val="231f20"/>
        </w:rPr>
      </w:r>
      <w:r>
        <w:rPr>
          <w:rFonts w:ascii="Arial" w:hAnsi="Arial" w:cs="Arial"/>
          <w:b/>
          <w:color w:val="231f20"/>
        </w:rPr>
      </w:r>
    </w:p>
    <w:p w14:paraId="6BCC34AE" w14:textId="77777777">
      <w:pPr>
        <w:pBdr/>
        <w:spacing/>
        <w:ind/>
        <w:jc w:val="both"/>
        <w:rPr/>
      </w:pPr>
      <w:r>
        <w:rPr>
          <w:rFonts w:ascii="Arial" w:hAnsi="Arial" w:cs="Arial"/>
          <w:b/>
        </w:rPr>
        <w:t xml:space="preserve">CLÁUSULA OITAVA – DOS PRAZOS, CONDIÇÕES DE ENTREGA, ACONDICIONAMENTO E TRANSPORTE</w:t>
      </w:r>
      <w:r/>
    </w:p>
    <w:p w14:paraId="140DF2EC" w14:textId="77777777">
      <w:pPr>
        <w:pBdr/>
        <w:spacing/>
        <w:ind/>
        <w:jc w:val="both"/>
        <w:rPr>
          <w:rFonts w:ascii="Arial" w:hAnsi="Arial" w:cs="Arial"/>
          <w:b/>
          <w:color w:val="231f20"/>
        </w:rPr>
      </w:pPr>
      <w:r>
        <w:rPr>
          <w:rFonts w:ascii="Arial" w:hAnsi="Arial" w:cs="Arial"/>
          <w:b/>
          <w:color w:val="231f20"/>
        </w:rPr>
      </w:r>
      <w:r>
        <w:rPr>
          <w:rFonts w:ascii="Arial" w:hAnsi="Arial" w:cs="Arial"/>
          <w:b/>
          <w:color w:val="231f20"/>
        </w:rPr>
      </w:r>
    </w:p>
    <w:p w14:paraId="762CF703" w14:textId="77777777">
      <w:pPr>
        <w:pBdr/>
        <w:spacing/>
        <w:ind/>
        <w:jc w:val="both"/>
        <w:rPr/>
      </w:pPr>
      <w:r>
        <w:rPr>
          <w:rFonts w:ascii="Arial" w:hAnsi="Arial" w:cs="Arial"/>
          <w:b/>
          <w:color w:val="231f20"/>
        </w:rPr>
        <w:t xml:space="preserve">8.1.</w:t>
      </w:r>
      <w:r>
        <w:rPr>
          <w:rFonts w:ascii="Arial" w:hAnsi="Arial" w:cs="Arial"/>
          <w:color w:val="231f20"/>
        </w:rPr>
        <w:t xml:space="preserve"> As regras referentes aos prazos, condições de entrega, acondimento, transporte e os locais de entrega, constam no Termo de Referência. </w:t>
      </w:r>
      <w:r/>
    </w:p>
    <w:p w14:paraId="360D1F88" w14:textId="77777777">
      <w:pPr>
        <w:pBdr/>
        <w:spacing/>
        <w:ind/>
        <w:jc w:val="both"/>
        <w:rPr>
          <w:rFonts w:ascii="Arial" w:hAnsi="Arial" w:cs="Arial"/>
          <w:b/>
          <w:color w:val="231f20"/>
        </w:rPr>
      </w:pPr>
      <w:r>
        <w:rPr>
          <w:rFonts w:ascii="Arial" w:hAnsi="Arial" w:cs="Arial"/>
          <w:b/>
          <w:color w:val="231f20"/>
        </w:rPr>
      </w:r>
      <w:r>
        <w:rPr>
          <w:rFonts w:ascii="Arial" w:hAnsi="Arial" w:cs="Arial"/>
          <w:b/>
          <w:color w:val="231f20"/>
        </w:rPr>
      </w:r>
    </w:p>
    <w:p w14:paraId="307F7E8C" w14:textId="77777777">
      <w:pPr>
        <w:pBdr/>
        <w:spacing/>
        <w:ind/>
        <w:jc w:val="both"/>
        <w:rPr/>
      </w:pPr>
      <w:r>
        <w:rPr>
          <w:rFonts w:ascii="Arial" w:hAnsi="Arial" w:cs="Arial"/>
          <w:b/>
        </w:rPr>
        <w:t xml:space="preserve">CLÁUSULA NONA – DO RECEBIMENTO DO(S) PRODUTO(S):</w:t>
      </w:r>
      <w:r/>
    </w:p>
    <w:p w14:paraId="2626880B" w14:textId="77777777">
      <w:pPr>
        <w:pBdr/>
        <w:spacing/>
        <w:ind/>
        <w:jc w:val="both"/>
        <w:rPr>
          <w:rFonts w:ascii="Arial" w:hAnsi="Arial" w:cs="Arial"/>
          <w:b/>
          <w:color w:val="231f20"/>
        </w:rPr>
      </w:pPr>
      <w:r>
        <w:rPr>
          <w:rFonts w:ascii="Arial" w:hAnsi="Arial" w:cs="Arial"/>
          <w:b/>
          <w:color w:val="231f20"/>
        </w:rPr>
      </w:r>
      <w:r>
        <w:rPr>
          <w:rFonts w:ascii="Arial" w:hAnsi="Arial" w:cs="Arial"/>
          <w:b/>
          <w:color w:val="231f20"/>
        </w:rPr>
      </w:r>
    </w:p>
    <w:p w14:paraId="2F3DD6E7" w14:textId="77777777">
      <w:pPr>
        <w:pBdr/>
        <w:spacing/>
        <w:ind/>
        <w:jc w:val="both"/>
        <w:rPr/>
      </w:pPr>
      <w:r>
        <w:rPr>
          <w:rFonts w:ascii="Arial" w:hAnsi="Arial" w:cs="Arial"/>
          <w:b/>
          <w:color w:val="231f20"/>
        </w:rPr>
        <w:t xml:space="preserve">9.1.</w:t>
      </w:r>
      <w:r>
        <w:rPr>
          <w:rFonts w:ascii="Arial" w:hAnsi="Arial" w:cs="Arial"/>
          <w:color w:val="231f20"/>
        </w:rPr>
        <w:t xml:space="preserve"> As regras referentes ao recebimento do(s) produto(s) constam no Termo de Referência.</w:t>
      </w:r>
      <w:r/>
    </w:p>
    <w:p w14:paraId="726A2BA4"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6E19169B" w14:textId="77777777">
      <w:pPr>
        <w:pBdr/>
        <w:spacing/>
        <w:ind/>
        <w:jc w:val="both"/>
        <w:rPr/>
      </w:pPr>
      <w:r>
        <w:rPr>
          <w:rFonts w:ascii="Arial" w:hAnsi="Arial" w:cs="Arial"/>
          <w:b/>
          <w:color w:val="231f20"/>
        </w:rPr>
        <w:t xml:space="preserve">CLÁUSULA DÉCIMA – DAS CONDIÇÕES DE PAGAMENTO:</w:t>
      </w:r>
      <w:r/>
    </w:p>
    <w:p w14:paraId="53852507" w14:textId="77777777">
      <w:pPr>
        <w:pBdr/>
        <w:spacing/>
        <w:ind/>
        <w:jc w:val="both"/>
        <w:rPr>
          <w:rFonts w:ascii="Arial" w:hAnsi="Arial" w:cs="Arial"/>
          <w:b/>
          <w:color w:val="231f20"/>
        </w:rPr>
      </w:pPr>
      <w:r>
        <w:rPr>
          <w:rFonts w:ascii="Arial" w:hAnsi="Arial" w:cs="Arial"/>
          <w:b/>
          <w:color w:val="231f20"/>
        </w:rPr>
      </w:r>
      <w:r>
        <w:rPr>
          <w:rFonts w:ascii="Arial" w:hAnsi="Arial" w:cs="Arial"/>
          <w:b/>
          <w:color w:val="231f20"/>
        </w:rPr>
      </w:r>
    </w:p>
    <w:p w14:paraId="35EA6CF6" w14:textId="77777777">
      <w:pPr>
        <w:pBdr/>
        <w:spacing/>
        <w:ind/>
        <w:jc w:val="both"/>
        <w:rPr>
          <w:rFonts w:ascii="Arial" w:hAnsi="Arial" w:cs="Arial"/>
          <w:color w:val="231f20"/>
        </w:rPr>
      </w:pPr>
      <w:r>
        <w:rPr>
          <w:rFonts w:ascii="Arial" w:hAnsi="Arial" w:cs="Arial"/>
          <w:b/>
          <w:color w:val="231f20"/>
        </w:rPr>
        <w:t xml:space="preserve">10.1.</w:t>
      </w:r>
      <w:r>
        <w:rPr>
          <w:rFonts w:ascii="Arial" w:hAnsi="Arial" w:cs="Arial"/>
          <w:color w:val="231f20"/>
        </w:rPr>
        <w:t xml:space="preserve"> As regras referentes às condições de pagamento constam no Termo de Referência.</w:t>
      </w:r>
      <w:r>
        <w:rPr>
          <w:rFonts w:ascii="Arial" w:hAnsi="Arial" w:cs="Arial"/>
          <w:color w:val="231f20"/>
        </w:rPr>
      </w:r>
    </w:p>
    <w:p w14:paraId="7D62F706"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58ABA354" w14:textId="77777777">
      <w:pPr>
        <w:pBdr/>
        <w:spacing/>
        <w:ind/>
        <w:jc w:val="both"/>
        <w:rPr/>
      </w:pPr>
      <w:r>
        <w:rPr>
          <w:rFonts w:ascii="Arial" w:hAnsi="Arial" w:cs="Arial"/>
          <w:b/>
          <w:color w:val="000000"/>
        </w:rPr>
        <w:t xml:space="preserve">CLÁUSULA DÉCIMA PRIMEIRA – DA ALTERAÇÃO DE MARCA E DE PREÇO:</w:t>
      </w:r>
      <w:r/>
    </w:p>
    <w:p w14:paraId="4BA5BAFC" w14:textId="77777777">
      <w:pPr>
        <w:pBdr/>
        <w:spacing/>
        <w:ind/>
        <w:jc w:val="both"/>
        <w:rPr>
          <w:rFonts w:ascii="Arial" w:hAnsi="Arial" w:cs="Arial"/>
          <w:b/>
          <w:color w:val="000000"/>
          <w:sz w:val="24"/>
          <w:szCs w:val="24"/>
        </w:rPr>
      </w:pPr>
      <w:r>
        <w:rPr>
          <w:rFonts w:ascii="Arial" w:hAnsi="Arial" w:cs="Arial"/>
          <w:b/>
          <w:color w:val="000000"/>
          <w:sz w:val="24"/>
          <w:szCs w:val="24"/>
        </w:rPr>
      </w:r>
      <w:r>
        <w:rPr>
          <w:rFonts w:ascii="Arial" w:hAnsi="Arial" w:cs="Arial"/>
          <w:b/>
          <w:color w:val="000000"/>
          <w:sz w:val="24"/>
          <w:szCs w:val="24"/>
        </w:rPr>
      </w:r>
    </w:p>
    <w:p w14:paraId="30033DD9" w14:textId="77777777">
      <w:pPr>
        <w:pBdr/>
        <w:spacing/>
        <w:ind/>
        <w:jc w:val="both"/>
        <w:rPr/>
      </w:pPr>
      <w:r>
        <w:rPr>
          <w:rFonts w:ascii="Arial" w:hAnsi="Arial" w:cs="Arial"/>
          <w:b/>
          <w:color w:val="231f20"/>
        </w:rPr>
        <w:t xml:space="preserve">11.1.</w:t>
      </w:r>
      <w:r>
        <w:rPr>
          <w:rFonts w:ascii="Arial" w:hAnsi="Arial" w:cs="Arial"/>
          <w:color w:val="231f20"/>
        </w:rPr>
        <w:t xml:space="preserve">  A ARP poderá ser alterada mediante a substituição de marca nas seguintes condições:</w:t>
      </w:r>
      <w:r/>
    </w:p>
    <w:p w14:paraId="076881AE" w14:textId="77777777">
      <w:pPr>
        <w:pBdr/>
        <w:spacing/>
        <w:ind/>
        <w:jc w:val="both"/>
        <w:rPr/>
      </w:pPr>
      <w:r>
        <w:rPr>
          <w:rFonts w:ascii="Arial" w:hAnsi="Arial" w:cs="Arial"/>
          <w:sz w:val="24"/>
          <w:szCs w:val="24"/>
        </w:rPr>
        <w:t xml:space="preserve"> </w:t>
      </w:r>
      <w:r/>
    </w:p>
    <w:p w14:paraId="4F43AD80" w14:textId="77777777">
      <w:pPr>
        <w:pBdr/>
        <w:spacing/>
        <w:ind/>
        <w:jc w:val="both"/>
        <w:rPr/>
      </w:pPr>
      <w:r>
        <w:rPr>
          <w:rFonts w:ascii="Arial" w:hAnsi="Arial" w:cs="Arial"/>
          <w:b/>
          <w:color w:val="231f20"/>
        </w:rPr>
        <w:t xml:space="preserve">I </w:t>
      </w:r>
      <w:r>
        <w:rPr>
          <w:rFonts w:ascii="Arial" w:hAnsi="Arial" w:cs="Arial"/>
          <w:color w:val="231f20"/>
        </w:rPr>
        <w:t xml:space="preserve">- Por solicitação do Órgão ou da Entidade Gerenciadora, se comprovado que a marca não mais atende às especificações exigidas ou se encontra fora da legislação aplicável;</w:t>
      </w:r>
      <w:r/>
    </w:p>
    <w:p w14:paraId="7263F7AA"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002131BE" w14:textId="77777777">
      <w:pPr>
        <w:pBdr/>
        <w:spacing/>
        <w:ind/>
        <w:jc w:val="both"/>
        <w:rPr/>
      </w:pPr>
      <w:r>
        <w:rPr>
          <w:rFonts w:ascii="Arial" w:hAnsi="Arial" w:cs="Arial"/>
          <w:b/>
          <w:color w:val="231f20"/>
        </w:rPr>
        <w:t xml:space="preserve">II</w:t>
      </w:r>
      <w:r>
        <w:rPr>
          <w:rFonts w:ascii="Arial" w:hAnsi="Arial" w:cs="Arial"/>
          <w:color w:val="231f20"/>
        </w:rPr>
        <w:t xml:space="preserve"> - Por requerimento do Detentor, que deve ser apreciado pelo Órgão ou Entidade Gerenciadora, em hipótese que comprove a impossibilidade de fornecimento.</w:t>
      </w:r>
      <w:r/>
    </w:p>
    <w:p w14:paraId="147DF89A" w14:textId="77777777">
      <w:pPr>
        <w:pBdr/>
        <w:spacing/>
        <w:ind/>
        <w:jc w:val="both"/>
        <w:rPr/>
      </w:pPr>
      <w:r>
        <w:rPr>
          <w:rFonts w:ascii="Arial" w:hAnsi="Arial" w:cs="Arial"/>
          <w:sz w:val="24"/>
          <w:szCs w:val="24"/>
        </w:rPr>
        <w:t xml:space="preserve"> </w:t>
      </w:r>
      <w:r/>
    </w:p>
    <w:p w14:paraId="3FB6F6BA" w14:textId="77777777">
      <w:pPr>
        <w:pBdr/>
        <w:spacing/>
        <w:ind/>
        <w:jc w:val="both"/>
        <w:rPr/>
      </w:pPr>
      <w:r>
        <w:rPr>
          <w:rFonts w:ascii="Arial" w:hAnsi="Arial" w:cs="Arial"/>
          <w:b/>
          <w:color w:val="231f20"/>
        </w:rPr>
        <w:t xml:space="preserve">11.1.1.</w:t>
      </w:r>
      <w:r>
        <w:rPr>
          <w:rFonts w:ascii="Arial" w:hAnsi="Arial" w:cs="Arial"/>
          <w:color w:val="231f20"/>
        </w:rPr>
        <w:t xml:space="preserve"> O Órgão ou Entidade Gerenciadora somente poderá aquiescer com a substituição requerida pelo Detentor se comprovadamente houver igualdade de condições ou vantagem para o interesse público.</w:t>
      </w:r>
      <w:r/>
    </w:p>
    <w:p w14:paraId="69240A0D" w14:textId="77777777">
      <w:pPr>
        <w:pBdr/>
        <w:spacing/>
        <w:ind/>
        <w:jc w:val="both"/>
        <w:rPr>
          <w:rFonts w:ascii="Arial" w:hAnsi="Arial" w:cs="Arial"/>
          <w:b/>
          <w:color w:val="231f20"/>
        </w:rPr>
      </w:pPr>
      <w:r>
        <w:rPr>
          <w:rFonts w:ascii="Arial" w:hAnsi="Arial" w:cs="Arial"/>
          <w:b/>
          <w:color w:val="231f20"/>
        </w:rPr>
      </w:r>
      <w:r>
        <w:rPr>
          <w:rFonts w:ascii="Arial" w:hAnsi="Arial" w:cs="Arial"/>
          <w:b/>
          <w:color w:val="231f20"/>
        </w:rPr>
      </w:r>
    </w:p>
    <w:p w14:paraId="26A287E4" w14:textId="77777777">
      <w:pPr>
        <w:pBdr/>
        <w:spacing/>
        <w:ind/>
        <w:jc w:val="both"/>
        <w:rPr/>
      </w:pPr>
      <w:r>
        <w:rPr>
          <w:rFonts w:ascii="Arial" w:hAnsi="Arial" w:cs="Arial"/>
          <w:b/>
          <w:color w:val="231f20"/>
        </w:rPr>
        <w:t xml:space="preserve">11.1.2.</w:t>
      </w:r>
      <w:r>
        <w:rPr>
          <w:rFonts w:ascii="Arial" w:hAnsi="Arial" w:cs="Arial"/>
          <w:color w:val="231f20"/>
        </w:rPr>
        <w:t xml:space="preserve"> A substituição de marca implicará em nova análise do produto, conforme previsto no edital, anexos e na legislação aplicável. </w:t>
      </w:r>
      <w:r/>
    </w:p>
    <w:p w14:paraId="4443F046"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7D657AFA" w14:textId="77777777">
      <w:pPr>
        <w:pBdr/>
        <w:spacing/>
        <w:ind/>
        <w:jc w:val="both"/>
        <w:rPr/>
      </w:pPr>
      <w:r>
        <w:rPr>
          <w:rFonts w:ascii="Arial" w:hAnsi="Arial" w:cs="Arial"/>
          <w:b/>
          <w:color w:val="231f20"/>
        </w:rPr>
        <w:t xml:space="preserve">11.1.3.</w:t>
      </w:r>
      <w:r>
        <w:rPr>
          <w:rFonts w:ascii="Arial" w:hAnsi="Arial" w:cs="Arial"/>
          <w:color w:val="231f20"/>
        </w:rPr>
        <w:t xml:space="preserve"> A substituição de marca deverá ser publicada obrigatoriamente no DIORONDON.</w:t>
      </w:r>
      <w:r/>
    </w:p>
    <w:p w14:paraId="392BC8F3"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5FC8DD21" w14:textId="77777777">
      <w:pPr>
        <w:pBdr/>
        <w:spacing/>
        <w:ind/>
        <w:jc w:val="both"/>
        <w:rPr/>
      </w:pPr>
      <w:r>
        <w:rPr>
          <w:rFonts w:ascii="Arial" w:hAnsi="Arial" w:cs="Arial"/>
          <w:b/>
        </w:rPr>
        <w:t xml:space="preserve">CLÁUSULA DÉCIMA SEGUNDA – DA PESQUISA DE PREÇOS:</w:t>
      </w:r>
      <w:r/>
    </w:p>
    <w:p w14:paraId="37D82670" w14:textId="77777777">
      <w:pPr>
        <w:pBdr/>
        <w:spacing/>
        <w:ind/>
        <w:jc w:val="both"/>
        <w:rPr>
          <w:rFonts w:ascii="Arial" w:hAnsi="Arial" w:cs="Arial"/>
          <w:b/>
          <w:color w:val="231f20"/>
        </w:rPr>
      </w:pPr>
      <w:r>
        <w:rPr>
          <w:rFonts w:ascii="Arial" w:hAnsi="Arial" w:cs="Arial"/>
          <w:b/>
          <w:color w:val="231f20"/>
        </w:rPr>
      </w:r>
      <w:r>
        <w:rPr>
          <w:rFonts w:ascii="Arial" w:hAnsi="Arial" w:cs="Arial"/>
          <w:b/>
          <w:color w:val="231f20"/>
        </w:rPr>
      </w:r>
    </w:p>
    <w:p w14:paraId="7A475C4B" w14:textId="77777777">
      <w:pPr>
        <w:pBdr/>
        <w:spacing/>
        <w:ind/>
        <w:jc w:val="both"/>
        <w:rPr/>
      </w:pPr>
      <w:r>
        <w:rPr>
          <w:rFonts w:ascii="Arial" w:hAnsi="Arial" w:cs="Arial"/>
          <w:b/>
        </w:rPr>
        <w:t xml:space="preserve">12.1.</w:t>
      </w:r>
      <w:r>
        <w:rPr>
          <w:rFonts w:ascii="Arial" w:hAnsi="Arial" w:cs="Arial"/>
        </w:rPr>
        <w:t xml:space="preserve">Os</w:t>
      </w:r>
      <w:r>
        <w:rPr>
          <w:rFonts w:ascii="Arial" w:hAnsi="Arial" w:cs="Arial"/>
        </w:rPr>
        <w:t xml:space="preserve"> requisitos que utilizamos para a realização de pesquisa de preços com intenção na aquisição do objeto deste Term</w:t>
      </w:r>
      <w:r>
        <w:rPr>
          <w:rFonts w:ascii="Arial" w:hAnsi="Arial" w:cs="Arial"/>
        </w:rPr>
        <w:t xml:space="preserve">o Referencial está seguindo o contexto das normativas estabelecidas pela Lei 14.133/2021 e pela Instrução Normativa 65/2021 SEGES/ME. Para tal descrevemos abaixo cada um dos requisitos que compõem a estimativa de preços levantadas e suas formas de cotação.</w:t>
      </w:r>
      <w:r/>
    </w:p>
    <w:p w14:paraId="1EAC9FA3" w14:textId="77777777">
      <w:pPr>
        <w:pBdr/>
        <w:spacing/>
        <w:ind/>
        <w:jc w:val="both"/>
        <w:rPr>
          <w:rFonts w:ascii="Arial" w:hAnsi="Arial" w:cs="Arial"/>
        </w:rPr>
      </w:pPr>
      <w:r>
        <w:rPr>
          <w:rFonts w:ascii="Arial" w:hAnsi="Arial" w:cs="Arial"/>
        </w:rPr>
      </w:r>
      <w:r>
        <w:rPr>
          <w:rFonts w:ascii="Arial" w:hAnsi="Arial" w:cs="Arial"/>
        </w:rPr>
      </w:r>
    </w:p>
    <w:p w14:paraId="5F74E364" w14:textId="77777777">
      <w:pPr>
        <w:pBdr/>
        <w:spacing/>
        <w:ind/>
        <w:jc w:val="both"/>
        <w:rPr/>
      </w:pPr>
      <w:r>
        <w:rPr>
          <w:rFonts w:ascii="Arial" w:hAnsi="Arial" w:cs="Arial"/>
          <w:b/>
        </w:rPr>
        <w:t xml:space="preserve">12.2.</w:t>
      </w:r>
      <w:r>
        <w:rPr>
          <w:rFonts w:ascii="Arial" w:hAnsi="Arial" w:cs="Arial"/>
        </w:rPr>
        <w:t xml:space="preserve"> A estimativa dos valores unitários citados neste Termo Referencial bem como o valor total global da a</w:t>
      </w:r>
      <w:r>
        <w:rPr>
          <w:rFonts w:ascii="Arial" w:hAnsi="Arial" w:cs="Arial"/>
        </w:rPr>
        <w:t xml:space="preserve">quisição de bens de consumo e permanentes (constam em planilhas no item II dos Quantitativos); foram obtidos através de pesquisa de preços onde utilizamos como métodos e fonte de pesquisas as seguintes ferramentas: plataforma de preços públicos TCE-Radar (</w:t>
      </w:r>
      <w:hyperlink r:id="rId37" w:tooltip="https://radardeprecos.tce.mt.gov.br/extensions/%20radarcompraspublicas/panel.html" w:history="1">
        <w:r>
          <w:rPr>
            <w:rStyle w:val="1293"/>
            <w:rFonts w:ascii="Arial" w:hAnsi="Arial" w:cs="Arial"/>
          </w:rPr>
          <w:t xml:space="preserve">https://radardeprecos.tce.mt.gov.br/extensions/ radarcompraspublicas/panel.html</w:t>
        </w:r>
      </w:hyperlink>
      <w:r>
        <w:rPr>
          <w:rFonts w:ascii="Arial" w:hAnsi="Arial" w:cs="Arial"/>
        </w:rPr>
        <w:t xml:space="preserve">); Painel de preços (https://paineldeprecos.planejamento.gov.br/) e Portal Nacional de Contratações Públicas-PNCP. </w:t>
      </w:r>
      <w:r/>
    </w:p>
    <w:p w14:paraId="22444F7E" w14:textId="77777777">
      <w:pPr>
        <w:pBdr/>
        <w:spacing/>
        <w:ind/>
        <w:jc w:val="both"/>
        <w:rPr>
          <w:rFonts w:ascii="Arial" w:hAnsi="Arial" w:cs="Arial"/>
        </w:rPr>
      </w:pPr>
      <w:r>
        <w:rPr>
          <w:rFonts w:ascii="Arial" w:hAnsi="Arial" w:cs="Arial"/>
        </w:rPr>
      </w:r>
      <w:r>
        <w:rPr>
          <w:rFonts w:ascii="Arial" w:hAnsi="Arial" w:cs="Arial"/>
        </w:rPr>
      </w:r>
    </w:p>
    <w:p w14:paraId="31AA5849" w14:textId="77777777">
      <w:pPr>
        <w:pBdr/>
        <w:spacing/>
        <w:ind/>
        <w:jc w:val="both"/>
        <w:rPr/>
      </w:pPr>
      <w:r>
        <w:rPr>
          <w:rFonts w:ascii="Arial" w:hAnsi="Arial" w:cs="Arial"/>
          <w:b/>
        </w:rPr>
        <w:t xml:space="preserve">12.3.</w:t>
      </w:r>
      <w:r>
        <w:rPr>
          <w:rFonts w:ascii="Arial" w:hAnsi="Arial" w:cs="Arial"/>
        </w:rPr>
        <w:t xml:space="preserve"> A identificação do(a) responsável pela pesquisa preços consta com os seguintes dados: nome completo; cargo bem como o número de matrícula em todas páginas com os orçamentos que compõem este termo referencial.</w:t>
      </w:r>
      <w:r/>
    </w:p>
    <w:p w14:paraId="6F09B53E" w14:textId="77777777">
      <w:pPr>
        <w:pBdr/>
        <w:spacing/>
        <w:ind/>
        <w:jc w:val="both"/>
        <w:rPr>
          <w:rFonts w:ascii="Arial" w:hAnsi="Arial" w:cs="Arial"/>
          <w:b/>
        </w:rPr>
      </w:pPr>
      <w:r>
        <w:rPr>
          <w:rFonts w:ascii="Arial" w:hAnsi="Arial" w:cs="Arial"/>
          <w:b/>
        </w:rPr>
      </w:r>
      <w:r>
        <w:rPr>
          <w:rFonts w:ascii="Arial" w:hAnsi="Arial" w:cs="Arial"/>
          <w:b/>
        </w:rPr>
      </w:r>
    </w:p>
    <w:p w14:paraId="627B0BB9" w14:textId="77777777">
      <w:pPr>
        <w:pBdr/>
        <w:spacing/>
        <w:ind/>
        <w:jc w:val="both"/>
        <w:rPr/>
      </w:pPr>
      <w:r>
        <w:rPr>
          <w:rFonts w:ascii="Arial" w:hAnsi="Arial" w:cs="Arial"/>
          <w:b/>
        </w:rPr>
        <w:t xml:space="preserve">CLÁUSULA DÉCIMA TERCEIRA – DAS OBRIGAÇÕES DO ÓRGÃO DETENTOR DA ATA:</w:t>
      </w:r>
      <w:r/>
    </w:p>
    <w:p w14:paraId="257DB052" w14:textId="77777777">
      <w:pPr>
        <w:pBdr/>
        <w:spacing/>
        <w:ind/>
        <w:jc w:val="both"/>
        <w:rPr>
          <w:rFonts w:ascii="Arial" w:hAnsi="Arial" w:cs="Arial"/>
          <w:b/>
          <w:color w:val="231f20"/>
        </w:rPr>
      </w:pPr>
      <w:r>
        <w:rPr>
          <w:rFonts w:ascii="Arial" w:hAnsi="Arial" w:cs="Arial"/>
          <w:b/>
          <w:color w:val="231f20"/>
        </w:rPr>
      </w:r>
      <w:r>
        <w:rPr>
          <w:rFonts w:ascii="Arial" w:hAnsi="Arial" w:cs="Arial"/>
          <w:b/>
          <w:color w:val="231f20"/>
        </w:rPr>
      </w:r>
    </w:p>
    <w:p w14:paraId="61E1F3C8" w14:textId="77777777">
      <w:pPr>
        <w:pBdr/>
        <w:spacing/>
        <w:ind/>
        <w:jc w:val="both"/>
        <w:rPr/>
      </w:pPr>
      <w:r>
        <w:rPr>
          <w:rFonts w:ascii="Arial" w:hAnsi="Arial" w:cs="Arial"/>
          <w:b/>
          <w:color w:val="231f20"/>
        </w:rPr>
        <w:t xml:space="preserve">13.1.</w:t>
      </w:r>
      <w:r>
        <w:rPr>
          <w:rFonts w:ascii="Arial" w:hAnsi="Arial" w:cs="Arial"/>
          <w:color w:val="231f20"/>
        </w:rPr>
        <w:t xml:space="preserve"> As obrigações do Órgão e do Detentor da Ata constam no Termo de Referência.</w:t>
      </w:r>
      <w:r/>
    </w:p>
    <w:p w14:paraId="34523020" w14:textId="77777777">
      <w:pPr>
        <w:pBdr/>
        <w:spacing/>
        <w:ind/>
        <w:jc w:val="both"/>
        <w:rPr>
          <w:rFonts w:ascii="Arial" w:hAnsi="Arial" w:cs="Arial"/>
          <w:b/>
          <w:color w:val="231f20"/>
        </w:rPr>
      </w:pPr>
      <w:r>
        <w:rPr>
          <w:rFonts w:ascii="Arial" w:hAnsi="Arial" w:cs="Arial"/>
          <w:b/>
          <w:color w:val="231f20"/>
        </w:rPr>
      </w:r>
      <w:r>
        <w:rPr>
          <w:rFonts w:ascii="Arial" w:hAnsi="Arial" w:cs="Arial"/>
          <w:b/>
          <w:color w:val="231f20"/>
        </w:rPr>
      </w:r>
    </w:p>
    <w:p w14:paraId="500D07C0" w14:textId="77777777">
      <w:pPr>
        <w:pBdr/>
        <w:spacing/>
        <w:ind/>
        <w:jc w:val="both"/>
        <w:rPr/>
      </w:pPr>
      <w:r>
        <w:rPr>
          <w:rFonts w:ascii="Arial" w:hAnsi="Arial" w:cs="Arial"/>
          <w:b/>
        </w:rPr>
        <w:t xml:space="preserve">CLÁUSULA DÉCIMA QUARTA – DO CANCELAMENTO DO REGISTRO DE PREÇOS:</w:t>
      </w:r>
      <w:r/>
    </w:p>
    <w:p w14:paraId="1EEF3F92" w14:textId="77777777">
      <w:pPr>
        <w:pBdr/>
        <w:spacing/>
        <w:ind/>
        <w:jc w:val="both"/>
        <w:rPr>
          <w:rFonts w:ascii="Arial" w:hAnsi="Arial" w:cs="Arial"/>
          <w:b/>
          <w:color w:val="231f20"/>
        </w:rPr>
      </w:pPr>
      <w:r>
        <w:rPr>
          <w:rFonts w:ascii="Arial" w:hAnsi="Arial" w:cs="Arial"/>
          <w:b/>
          <w:color w:val="231f20"/>
        </w:rPr>
      </w:r>
      <w:r>
        <w:rPr>
          <w:rFonts w:ascii="Arial" w:hAnsi="Arial" w:cs="Arial"/>
          <w:b/>
          <w:color w:val="231f20"/>
        </w:rPr>
      </w:r>
    </w:p>
    <w:p w14:paraId="5B669051" w14:textId="77777777">
      <w:pPr>
        <w:pBdr/>
        <w:spacing/>
        <w:ind/>
        <w:jc w:val="both"/>
        <w:rPr/>
      </w:pPr>
      <w:r>
        <w:rPr>
          <w:rFonts w:ascii="Arial" w:hAnsi="Arial" w:cs="Arial"/>
          <w:b/>
          <w:color w:val="231f20"/>
        </w:rPr>
        <w:t xml:space="preserve">14.1.</w:t>
      </w:r>
      <w:r>
        <w:rPr>
          <w:rFonts w:ascii="Arial" w:hAnsi="Arial" w:cs="Arial"/>
          <w:color w:val="231f20"/>
        </w:rPr>
        <w:t xml:space="preserve"> O Órgão ou Entidade Gerenciadora poderá cancelar o registro de preços do Detentor, total ou parcialmente, observados o contraditório e a ampla defesa, nos seguintes casos:</w:t>
      </w:r>
      <w:r/>
    </w:p>
    <w:p w14:paraId="08BB49D2"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140BC154" w14:textId="77777777">
      <w:pPr>
        <w:pBdr/>
        <w:spacing/>
        <w:ind/>
        <w:jc w:val="both"/>
        <w:rPr/>
      </w:pPr>
      <w:r>
        <w:rPr>
          <w:rFonts w:ascii="Arial" w:hAnsi="Arial" w:cs="Arial"/>
          <w:color w:val="231f20"/>
        </w:rPr>
        <w:t xml:space="preserve">I – Descumprimento parcial ou total, por parte do detentor, das condições da ARP;</w:t>
      </w:r>
      <w:r/>
    </w:p>
    <w:p w14:paraId="2204644C"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1D88749A" w14:textId="77777777">
      <w:pPr>
        <w:pBdr/>
        <w:spacing/>
        <w:ind/>
        <w:jc w:val="both"/>
        <w:rPr/>
      </w:pPr>
      <w:r>
        <w:rPr>
          <w:rFonts w:ascii="Arial" w:hAnsi="Arial" w:cs="Arial"/>
          <w:b/>
          <w:color w:val="231f20"/>
        </w:rPr>
        <w:t xml:space="preserve">II </w:t>
      </w:r>
      <w:r>
        <w:rPr>
          <w:rFonts w:ascii="Arial" w:hAnsi="Arial" w:cs="Arial"/>
          <w:color w:val="231f20"/>
        </w:rPr>
        <w:t xml:space="preserve">– Quando o detentor não atender à convocação para firmar as obrigações contratuais decorrentes do registro de preços, não retirar ou não aceitar o instrumento equivalente no prazo estabelecido pelo órgão ou entidade gerenciadora;</w:t>
      </w:r>
      <w:r/>
    </w:p>
    <w:p w14:paraId="16EE0C3E"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45586743" w14:textId="77777777">
      <w:pPr>
        <w:pBdr/>
        <w:spacing/>
        <w:ind/>
        <w:jc w:val="both"/>
        <w:rPr/>
      </w:pPr>
      <w:r>
        <w:rPr>
          <w:rFonts w:ascii="Arial" w:hAnsi="Arial" w:cs="Arial"/>
          <w:b/>
          <w:color w:val="231f20"/>
        </w:rPr>
        <w:t xml:space="preserve">III </w:t>
      </w:r>
      <w:r>
        <w:rPr>
          <w:rFonts w:ascii="Arial" w:hAnsi="Arial" w:cs="Arial"/>
          <w:color w:val="231f20"/>
        </w:rPr>
        <w:t xml:space="preserve">– Nas hipóteses de inexecução parcial ou total do contrato decorrente da ARP;</w:t>
      </w:r>
      <w:r/>
    </w:p>
    <w:p w14:paraId="6B7E4CC7"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67546D85" w14:textId="77777777">
      <w:pPr>
        <w:pBdr/>
        <w:spacing/>
        <w:ind/>
        <w:jc w:val="both"/>
        <w:rPr>
          <w:rFonts w:ascii="Arial" w:hAnsi="Arial" w:cs="Arial"/>
          <w:color w:val="231f20"/>
        </w:rPr>
      </w:pPr>
      <w:r>
        <w:rPr>
          <w:rFonts w:ascii="Arial" w:hAnsi="Arial" w:cs="Arial"/>
          <w:b/>
          <w:color w:val="231f20"/>
        </w:rPr>
        <w:t xml:space="preserve">IV </w:t>
      </w:r>
      <w:r>
        <w:rPr>
          <w:rFonts w:ascii="Arial" w:hAnsi="Arial" w:cs="Arial"/>
          <w:color w:val="231f20"/>
        </w:rPr>
        <w:t xml:space="preserve">– Nas hipóteses dos preços registrados não </w:t>
      </w:r>
      <w:r>
        <w:rPr>
          <w:rFonts w:ascii="Arial" w:hAnsi="Arial" w:cs="Arial"/>
          <w:color w:val="231f20"/>
        </w:rPr>
        <w:t xml:space="preserve">estiverem compatíveis com os praticados no mercado e o detentor se recusar a adequá-los na forma solicitada pelo órgão ou pela entidade gerenciadora, prevista no edital e na ARP, observado o disposto nos arts. 309 e 310 do Decreto Municipal nº 11.685/2023;</w:t>
      </w:r>
      <w:r>
        <w:rPr>
          <w:rFonts w:ascii="Arial" w:hAnsi="Arial" w:cs="Arial"/>
          <w:color w:val="231f20"/>
        </w:rPr>
      </w:r>
    </w:p>
    <w:p w14:paraId="2CFA71A4" w14:textId="77777777">
      <w:pPr>
        <w:pBdr/>
        <w:spacing/>
        <w:ind/>
        <w:jc w:val="both"/>
        <w:rPr/>
      </w:pPr>
      <w:r/>
      <w:r/>
    </w:p>
    <w:p w14:paraId="1EE670C1" w14:textId="77777777">
      <w:pPr>
        <w:pBdr/>
        <w:spacing/>
        <w:ind/>
        <w:jc w:val="both"/>
        <w:rPr>
          <w:rFonts w:ascii="Arial" w:hAnsi="Arial" w:cs="Arial"/>
          <w:color w:val="231f20"/>
        </w:rPr>
      </w:pPr>
      <w:r>
        <w:rPr>
          <w:rFonts w:ascii="Arial" w:hAnsi="Arial" w:cs="Arial"/>
          <w:b/>
          <w:color w:val="231f20"/>
        </w:rPr>
        <w:t xml:space="preserve">V </w:t>
      </w:r>
      <w:r>
        <w:rPr>
          <w:rFonts w:ascii="Arial" w:hAnsi="Arial" w:cs="Arial"/>
          <w:color w:val="231f20"/>
        </w:rPr>
        <w:t xml:space="preserve">– Por razões de interesse público, reduzida a termo no processo;</w:t>
      </w:r>
      <w:r>
        <w:rPr>
          <w:rFonts w:ascii="Arial" w:hAnsi="Arial" w:cs="Arial"/>
          <w:color w:val="231f20"/>
        </w:rPr>
      </w:r>
    </w:p>
    <w:p w14:paraId="09805D3B" w14:textId="77777777">
      <w:pPr>
        <w:pBdr/>
        <w:spacing/>
        <w:ind/>
        <w:jc w:val="both"/>
        <w:rPr/>
      </w:pPr>
      <w:r/>
      <w:r/>
    </w:p>
    <w:p w14:paraId="1C854DFE" w14:textId="77777777">
      <w:pPr>
        <w:pBdr/>
        <w:spacing/>
        <w:ind/>
        <w:jc w:val="both"/>
        <w:rPr/>
      </w:pPr>
      <w:r>
        <w:rPr>
          <w:rFonts w:ascii="Arial" w:hAnsi="Arial" w:cs="Arial"/>
          <w:b/>
          <w:color w:val="231f20"/>
        </w:rPr>
        <w:t xml:space="preserve">VI</w:t>
      </w:r>
      <w:r>
        <w:rPr>
          <w:rFonts w:ascii="Arial" w:hAnsi="Arial" w:cs="Arial"/>
          <w:color w:val="231f20"/>
        </w:rPr>
        <w:t xml:space="preserve"> – Por fato s</w:t>
      </w:r>
      <w:r>
        <w:rPr>
          <w:rFonts w:ascii="Arial" w:hAnsi="Arial" w:cs="Arial"/>
          <w:color w:val="231f20"/>
        </w:rPr>
        <w:t xml:space="preserve">uperveniente, decorrente de caso de força maior, caso fortuito ou fato do príncipe ou em decorrência de fatos imprevisíveis ou previsíveis de consequências incalculáveis, que inviabilizem a execução das obrigações previstas na ata, devidamente demonstrado;</w:t>
      </w:r>
      <w:r/>
    </w:p>
    <w:p w14:paraId="410DCD89"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4992C674" w14:textId="77777777">
      <w:pPr>
        <w:pBdr/>
        <w:spacing/>
        <w:ind/>
        <w:jc w:val="both"/>
        <w:rPr/>
      </w:pPr>
      <w:r>
        <w:rPr>
          <w:rFonts w:ascii="Arial" w:hAnsi="Arial" w:cs="Arial"/>
          <w:b/>
          <w:color w:val="231f20"/>
        </w:rPr>
        <w:t xml:space="preserve">VII</w:t>
      </w:r>
      <w:r>
        <w:rPr>
          <w:rFonts w:ascii="Arial" w:hAnsi="Arial" w:cs="Arial"/>
          <w:color w:val="231f20"/>
        </w:rPr>
        <w:t xml:space="preserve"> – Quando o detentor for suspenso ou impedido de licitar e contratar com a administração municipal;</w:t>
      </w:r>
      <w:r/>
    </w:p>
    <w:p w14:paraId="1ED42722"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4BEE18C5" w14:textId="77777777">
      <w:pPr>
        <w:pBdr/>
        <w:spacing/>
        <w:ind/>
        <w:jc w:val="both"/>
        <w:rPr/>
      </w:pPr>
      <w:r>
        <w:rPr>
          <w:rFonts w:ascii="Arial" w:hAnsi="Arial" w:cs="Arial"/>
          <w:b/>
          <w:color w:val="231f20"/>
        </w:rPr>
        <w:t xml:space="preserve">VIII</w:t>
      </w:r>
      <w:r>
        <w:rPr>
          <w:rFonts w:ascii="Arial" w:hAnsi="Arial" w:cs="Arial"/>
          <w:color w:val="231f20"/>
        </w:rPr>
        <w:t xml:space="preserve"> – Quando o detentor for declarado inidôneo para licitar ou contratar com a administração pública;</w:t>
      </w:r>
      <w:r/>
    </w:p>
    <w:p w14:paraId="08391A1B"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11AB3DCD" w14:textId="77777777">
      <w:pPr>
        <w:pBdr/>
        <w:spacing/>
        <w:ind/>
        <w:jc w:val="both"/>
        <w:rPr/>
      </w:pPr>
      <w:r>
        <w:rPr>
          <w:rFonts w:ascii="Arial" w:hAnsi="Arial" w:cs="Arial"/>
          <w:b/>
          <w:color w:val="231f20"/>
        </w:rPr>
        <w:t xml:space="preserve">IX</w:t>
      </w:r>
      <w:r>
        <w:rPr>
          <w:rFonts w:ascii="Arial" w:hAnsi="Arial" w:cs="Arial"/>
          <w:color w:val="231f20"/>
        </w:rPr>
        <w:t xml:space="preserve"> – Amigavelmente, por acordo entre as partes, reduzida a termo no processo, desde que haja conveniência para a administração;</w:t>
      </w:r>
      <w:r/>
    </w:p>
    <w:p w14:paraId="716E9997"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3B0737EE" w14:textId="77777777">
      <w:pPr>
        <w:pBdr/>
        <w:spacing/>
        <w:ind/>
        <w:jc w:val="both"/>
        <w:rPr/>
      </w:pPr>
      <w:r>
        <w:rPr>
          <w:rFonts w:ascii="Arial" w:hAnsi="Arial" w:cs="Arial"/>
          <w:b/>
          <w:color w:val="231f20"/>
        </w:rPr>
        <w:t xml:space="preserve">X</w:t>
      </w:r>
      <w:r>
        <w:rPr>
          <w:rFonts w:ascii="Arial" w:hAnsi="Arial" w:cs="Arial"/>
          <w:color w:val="231f20"/>
        </w:rPr>
        <w:t xml:space="preserve"> – Por ordem judicial.</w:t>
      </w:r>
      <w:r/>
    </w:p>
    <w:p w14:paraId="1EF98BE4"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667868EA" w14:textId="77777777">
      <w:pPr>
        <w:pBdr/>
        <w:spacing/>
        <w:ind/>
        <w:jc w:val="both"/>
        <w:rPr/>
      </w:pPr>
      <w:r>
        <w:rPr>
          <w:rFonts w:ascii="Arial" w:hAnsi="Arial" w:cs="Arial"/>
          <w:b/>
          <w:color w:val="231f20"/>
        </w:rPr>
        <w:t xml:space="preserve">XI </w:t>
      </w:r>
      <w:r>
        <w:rPr>
          <w:rFonts w:ascii="Arial" w:hAnsi="Arial" w:cs="Arial"/>
          <w:color w:val="231f20"/>
        </w:rPr>
        <w:t xml:space="preserve">- No caso de alteração social ou modificação da finalidade ou da estrutura da empresa que restrinja sua capacidade de concluir o contrato.</w:t>
      </w:r>
      <w:r/>
    </w:p>
    <w:p w14:paraId="345DD6F7"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0F0C822C" w14:textId="77777777">
      <w:pPr>
        <w:pBdr/>
        <w:spacing/>
        <w:ind/>
        <w:jc w:val="both"/>
        <w:rPr/>
      </w:pPr>
      <w:r>
        <w:rPr>
          <w:rFonts w:ascii="Arial" w:hAnsi="Arial" w:cs="Arial"/>
          <w:b/>
          <w:color w:val="231f20"/>
        </w:rPr>
        <w:t xml:space="preserve">XII</w:t>
      </w:r>
      <w:r>
        <w:rPr>
          <w:rFonts w:ascii="Arial" w:hAnsi="Arial" w:cs="Arial"/>
          <w:color w:val="231f20"/>
        </w:rPr>
        <w:t xml:space="preserve"> - Nos casos em que o Detentor estiver envolvido em casos de corrupção, nos termos da Lei Federal nº 12.846, de 1º de agosto de 2013. </w:t>
      </w:r>
      <w:r/>
    </w:p>
    <w:p w14:paraId="6DEA8D8D"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5A454392" w14:textId="77777777">
      <w:pPr>
        <w:pBdr/>
        <w:spacing/>
        <w:ind/>
        <w:jc w:val="both"/>
        <w:rPr/>
      </w:pPr>
      <w:r>
        <w:rPr>
          <w:rFonts w:ascii="Arial" w:hAnsi="Arial" w:cs="Arial"/>
          <w:b/>
          <w:color w:val="231f20"/>
        </w:rPr>
        <w:t xml:space="preserve">XIII</w:t>
      </w:r>
      <w:r>
        <w:rPr>
          <w:rFonts w:ascii="Arial" w:hAnsi="Arial" w:cs="Arial"/>
          <w:color w:val="231f20"/>
        </w:rPr>
        <w:t xml:space="preserve"> – No caso de não cumprimento da regra referente à subcontratação prevista no Termo de Referência.</w:t>
      </w:r>
      <w:r/>
    </w:p>
    <w:p w14:paraId="2E3E20DD"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207F9C8C" w14:textId="77777777">
      <w:pPr>
        <w:pBdr/>
        <w:spacing/>
        <w:ind/>
        <w:jc w:val="both"/>
        <w:rPr/>
      </w:pPr>
      <w:r>
        <w:rPr>
          <w:rFonts w:ascii="Arial" w:hAnsi="Arial" w:cs="Arial"/>
          <w:b/>
          <w:color w:val="231f20"/>
        </w:rPr>
        <w:t xml:space="preserve">14.2.</w:t>
      </w:r>
      <w:r>
        <w:rPr>
          <w:rFonts w:ascii="Arial" w:hAnsi="Arial" w:cs="Arial"/>
          <w:color w:val="231f20"/>
        </w:rPr>
        <w:tab/>
        <w:t xml:space="preserve">A notificação do Órgã</w:t>
      </w:r>
      <w:r>
        <w:rPr>
          <w:rFonts w:ascii="Arial" w:hAnsi="Arial" w:cs="Arial"/>
          <w:color w:val="231f20"/>
        </w:rPr>
        <w:t xml:space="preserve">o ou Entidade Gerenciadora para o cancelamento do preço registrado será enviada diretamente ao Detentor da ARP por ofício, correspondência eletrônica ou por outro meio eficaz, e no caso da ausência do recebimento, a notificação será publicada no DIORONDON.</w:t>
      </w:r>
      <w:r/>
    </w:p>
    <w:p w14:paraId="5AA56DAA"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176D058D" w14:textId="77777777">
      <w:pPr>
        <w:pBdr/>
        <w:spacing/>
        <w:ind/>
        <w:jc w:val="both"/>
        <w:rPr/>
      </w:pPr>
      <w:r>
        <w:rPr>
          <w:rFonts w:ascii="Arial" w:hAnsi="Arial" w:cs="Arial"/>
          <w:b/>
          <w:color w:val="231f20"/>
        </w:rPr>
        <w:t xml:space="preserve">14.3.</w:t>
      </w:r>
      <w:r>
        <w:rPr>
          <w:rFonts w:ascii="Arial" w:hAnsi="Arial" w:cs="Arial"/>
          <w:color w:val="231f20"/>
        </w:rPr>
        <w:t xml:space="preserve"> A solicitação do Detentor para cancelamento do registro de preço deverá ser formulada por escrito, assegurando-se o fornecimento do bem regis</w:t>
      </w:r>
      <w:r>
        <w:rPr>
          <w:rFonts w:ascii="Arial" w:hAnsi="Arial" w:cs="Arial"/>
          <w:color w:val="231f20"/>
        </w:rPr>
        <w:t xml:space="preserve">trado por prazo mínimo de quarenta e cinco dias, contado a partir da comprovação do recebimento da solicitação do cancelamento, salvo na hipótese da impossibilidade de seu cumprimento, devidamente justificada e aprovada pelo Órgão ou Entidade Gerenciadora.</w:t>
      </w:r>
      <w:r/>
    </w:p>
    <w:p w14:paraId="4C7AB030"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19C60399" w14:textId="77777777">
      <w:pPr>
        <w:pBdr/>
        <w:spacing/>
        <w:ind/>
        <w:jc w:val="both"/>
        <w:rPr/>
      </w:pPr>
      <w:r>
        <w:rPr>
          <w:rFonts w:ascii="Arial" w:hAnsi="Arial" w:cs="Arial"/>
          <w:b/>
          <w:color w:val="231f20"/>
        </w:rPr>
        <w:t xml:space="preserve">14.4.</w:t>
      </w:r>
      <w:r>
        <w:rPr>
          <w:rFonts w:ascii="Arial" w:hAnsi="Arial" w:cs="Arial"/>
          <w:color w:val="231f20"/>
        </w:rPr>
        <w:tab/>
        <w:t xml:space="preserve">O Detentor poderá solicitar</w:t>
      </w:r>
      <w:r>
        <w:rPr>
          <w:rFonts w:ascii="Arial" w:hAnsi="Arial" w:cs="Arial"/>
          <w:color w:val="231f20"/>
        </w:rPr>
        <w:t xml:space="preserve"> o cancelamento do seu preço registrado na ocorrência de fato superveniente decorrente de caso fortuito ou de força maior, devidamente comprovados, bem como nas hipóteses compreendidas na legislação aplicável a que venham comprometer o fornecimento do bem.</w:t>
      </w:r>
      <w:r/>
    </w:p>
    <w:p w14:paraId="5C84B61C" w14:textId="77777777">
      <w:pPr>
        <w:pBdr/>
        <w:spacing/>
        <w:ind/>
        <w:jc w:val="both"/>
        <w:rPr/>
      </w:pPr>
      <w:r>
        <w:rPr>
          <w:rFonts w:ascii="Arial" w:hAnsi="Arial" w:cs="Arial"/>
          <w:b/>
          <w:color w:val="231f20"/>
        </w:rPr>
        <w:t xml:space="preserve">14.5.</w:t>
      </w:r>
      <w:r>
        <w:rPr>
          <w:rFonts w:ascii="Arial" w:hAnsi="Arial" w:cs="Arial"/>
          <w:color w:val="231f20"/>
        </w:rPr>
        <w:tab/>
        <w:t xml:space="preserve">O cancelamento da ARP não afasta a possibilidade de aplicação de sanções, observadas as competências previstas no Decreto Municipal nº 11.685/2023.</w:t>
      </w:r>
      <w:r/>
    </w:p>
    <w:p w14:paraId="6A4B2C7B"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60F6627E" w14:textId="77777777">
      <w:pPr>
        <w:pBdr/>
        <w:spacing/>
        <w:ind/>
        <w:jc w:val="both"/>
        <w:rPr/>
      </w:pPr>
      <w:r>
        <w:rPr>
          <w:rFonts w:ascii="Arial" w:hAnsi="Arial" w:cs="Arial"/>
          <w:b/>
          <w:color w:val="231f20"/>
        </w:rPr>
        <w:t xml:space="preserve">14.6.</w:t>
      </w:r>
      <w:r>
        <w:rPr>
          <w:rFonts w:ascii="Arial" w:hAnsi="Arial" w:cs="Arial"/>
          <w:color w:val="231f20"/>
        </w:rPr>
        <w:t xml:space="preserve"> O cancelamento do Registro, nas hipóteses previstas, será formalizado por despacho da Autoridade Superior do Órgão ou Entidade Gerenciadora e publicado no DIORONDON</w:t>
      </w:r>
      <w:r/>
    </w:p>
    <w:p w14:paraId="672D669E"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53C6BC59" w14:textId="77777777">
      <w:pPr>
        <w:pBdr/>
        <w:spacing/>
        <w:ind/>
        <w:jc w:val="both"/>
        <w:rPr/>
      </w:pPr>
      <w:r>
        <w:rPr>
          <w:rFonts w:ascii="Arial" w:hAnsi="Arial" w:cs="Arial"/>
          <w:b/>
        </w:rPr>
        <w:t xml:space="preserve">CLÁUSULA DÉCIMA QUINTA – DA ADESÃO EM ATA DE REGISTRO DE PREÇOS:</w:t>
      </w:r>
      <w:r/>
    </w:p>
    <w:p w14:paraId="0A349354" w14:textId="77777777">
      <w:pPr>
        <w:pBdr/>
        <w:spacing/>
        <w:ind/>
        <w:jc w:val="both"/>
        <w:rPr>
          <w:rFonts w:ascii="Arial" w:hAnsi="Arial" w:cs="Arial"/>
          <w:b/>
        </w:rPr>
      </w:pPr>
      <w:r>
        <w:rPr>
          <w:rFonts w:ascii="Arial" w:hAnsi="Arial" w:cs="Arial"/>
          <w:b/>
        </w:rPr>
      </w:r>
      <w:r>
        <w:rPr>
          <w:rFonts w:ascii="Arial" w:hAnsi="Arial" w:cs="Arial"/>
          <w:b/>
        </w:rPr>
      </w:r>
    </w:p>
    <w:p w14:paraId="1E04ADB2" w14:textId="77777777">
      <w:pPr>
        <w:pBdr/>
        <w:spacing/>
        <w:ind/>
        <w:jc w:val="both"/>
        <w:rPr/>
      </w:pPr>
      <w:r>
        <w:rPr>
          <w:rFonts w:ascii="Arial" w:hAnsi="Arial" w:cs="Arial"/>
          <w:b/>
          <w:color w:val="000000"/>
        </w:rPr>
        <w:t xml:space="preserve">15.1.</w:t>
      </w:r>
      <w:r>
        <w:rPr>
          <w:rFonts w:ascii="Arial" w:hAnsi="Arial" w:cs="Arial"/>
          <w:color w:val="000000"/>
        </w:rPr>
        <w:t xml:space="preserve"> Por falta de justificativa ou motivação por parte das unidades demandantes a clausula foi excluída, conforme orientação do TCU: “A inserção de cláusula em edital licitatório prevendo a possibilidade de adesão a ata de registro de preços por órgãos ou enti</w:t>
      </w:r>
      <w:r>
        <w:rPr>
          <w:rFonts w:ascii="Arial" w:hAnsi="Arial" w:cs="Arial"/>
          <w:color w:val="000000"/>
        </w:rPr>
        <w:t xml:space="preserve">dades não participantes do planejamento da contratação ("carona") exige justificativa específica, lastreada em estudo técnico referente ao objeto licitado e devidamente registrada no documento de planejamento da contratação.” (Acórdão 311/2018-Plenário | R</w:t>
      </w:r>
      <w:r>
        <w:rPr>
          <w:rFonts w:ascii="Arial" w:hAnsi="Arial" w:cs="Arial"/>
          <w:color w:val="000000"/>
        </w:rPr>
        <w:t xml:space="preserve">elator: BRUNO DANTAS).</w:t>
      </w:r>
      <w:r/>
    </w:p>
    <w:p w14:paraId="348857A3" w14:textId="77777777">
      <w:pPr>
        <w:pBdr/>
        <w:spacing/>
        <w:ind/>
        <w:jc w:val="both"/>
        <w:rPr>
          <w:rFonts w:ascii="Arial" w:hAnsi="Arial" w:cs="Arial"/>
          <w:b/>
          <w:color w:val="000000"/>
        </w:rPr>
      </w:pPr>
      <w:r>
        <w:rPr>
          <w:rFonts w:ascii="Arial" w:hAnsi="Arial" w:cs="Arial"/>
          <w:b/>
          <w:color w:val="000000"/>
        </w:rPr>
      </w:r>
      <w:r>
        <w:rPr>
          <w:rFonts w:ascii="Arial" w:hAnsi="Arial" w:cs="Arial"/>
          <w:b/>
          <w:color w:val="000000"/>
        </w:rPr>
      </w:r>
    </w:p>
    <w:p w14:paraId="6D96D71D" w14:textId="77777777">
      <w:pPr>
        <w:pBdr/>
        <w:spacing/>
        <w:ind/>
        <w:jc w:val="both"/>
        <w:rPr/>
      </w:pPr>
      <w:r>
        <w:rPr>
          <w:rFonts w:ascii="Arial" w:hAnsi="Arial" w:cs="Arial"/>
          <w:b/>
        </w:rPr>
        <w:t xml:space="preserve">CLÁUSULA DÉCIMA SEXTA – DA PROTEÇÃO E TRANSMISSÃO DE INFORMAÇÃO, DADOS PESSOAIS E/OU BASE DE DADOS:</w:t>
      </w:r>
      <w:r/>
    </w:p>
    <w:p w14:paraId="4EC757A4" w14:textId="77777777">
      <w:pPr>
        <w:pBdr/>
        <w:spacing/>
        <w:ind/>
        <w:jc w:val="both"/>
        <w:rPr>
          <w:rFonts w:ascii="Arial" w:hAnsi="Arial" w:cs="Arial"/>
          <w:b/>
          <w:color w:val="231f20"/>
        </w:rPr>
      </w:pPr>
      <w:r>
        <w:rPr>
          <w:rFonts w:ascii="Arial" w:hAnsi="Arial" w:cs="Arial"/>
          <w:b/>
          <w:color w:val="231f20"/>
        </w:rPr>
      </w:r>
      <w:r>
        <w:rPr>
          <w:rFonts w:ascii="Arial" w:hAnsi="Arial" w:cs="Arial"/>
          <w:b/>
          <w:color w:val="231f20"/>
        </w:rPr>
      </w:r>
    </w:p>
    <w:p w14:paraId="5079FBD4" w14:textId="77777777">
      <w:pPr>
        <w:pBdr/>
        <w:spacing/>
        <w:ind/>
        <w:jc w:val="both"/>
        <w:rPr/>
      </w:pPr>
      <w:r>
        <w:rPr>
          <w:rFonts w:ascii="Arial" w:hAnsi="Arial" w:cs="Arial"/>
          <w:b/>
          <w:color w:val="231f20"/>
        </w:rPr>
        <w:t xml:space="preserve">16.1.</w:t>
      </w:r>
      <w:r>
        <w:rPr>
          <w:rFonts w:ascii="Arial" w:hAnsi="Arial" w:cs="Arial"/>
          <w:color w:val="231f20"/>
        </w:rPr>
        <w:t xml:space="preserve"> O Detentor obriga-se ao dever de proteção, confidencialidade e sigilo de toda informação, dados pessoais e/ou base de da</w:t>
      </w:r>
      <w:r>
        <w:rPr>
          <w:rFonts w:ascii="Arial" w:hAnsi="Arial" w:cs="Arial"/>
          <w:color w:val="231f20"/>
        </w:rPr>
        <w:t xml:space="preserve">dos a que tenha acesso, inclusive em razão de licenciamento ou da operação dos programas/sistemas, nos termos da Lei nº 13.709/2018, suas alterações e regulamentações posteriores, durante o cumprimento do objeto descrito no presente instrumento contratual.</w:t>
      </w:r>
      <w:r/>
    </w:p>
    <w:p w14:paraId="72BED844" w14:textId="77777777">
      <w:pPr>
        <w:pBdr/>
        <w:spacing/>
        <w:ind/>
        <w:jc w:val="both"/>
        <w:rPr/>
      </w:pPr>
      <w:r>
        <w:rPr>
          <w:rFonts w:ascii="Arial" w:hAnsi="Arial" w:cs="Arial"/>
          <w:color w:val="231f20"/>
        </w:rPr>
        <w:t xml:space="preserve"> </w:t>
      </w:r>
      <w:r/>
    </w:p>
    <w:p w14:paraId="1E7BAA42" w14:textId="77777777">
      <w:pPr>
        <w:pBdr/>
        <w:spacing/>
        <w:ind/>
        <w:jc w:val="both"/>
        <w:rPr/>
      </w:pPr>
      <w:r>
        <w:rPr>
          <w:rFonts w:ascii="Arial" w:hAnsi="Arial" w:cs="Arial"/>
          <w:b/>
          <w:color w:val="231f20"/>
        </w:rPr>
        <w:t xml:space="preserve">16.1.1.</w:t>
      </w:r>
      <w:r>
        <w:rPr>
          <w:rFonts w:ascii="Arial" w:hAnsi="Arial" w:cs="Arial"/>
          <w:color w:val="231f20"/>
        </w:rPr>
        <w:t xml:space="preserve"> O Detentor obriga-se a implementar medidas técnicas e administrativas suficientes visando a segurança, a proteção, a confidencialidade e o sigilo de toda </w:t>
      </w:r>
      <w:r>
        <w:rPr>
          <w:rFonts w:ascii="Arial" w:hAnsi="Arial" w:cs="Arial"/>
          <w:color w:val="231f20"/>
        </w:rPr>
        <w:t xml:space="preserve">informação, dados pessoais e/ou base de dados a que tenha acesso a fim de evitar acessos não autorizados, acidentes, vazamentos acidentais ou ilícitos que causem destruição, perda, alteração, comunicação ou qualquer outra forma de tratamento não previstos.</w:t>
      </w:r>
      <w:r/>
    </w:p>
    <w:p w14:paraId="093F5BB4" w14:textId="77777777">
      <w:pPr>
        <w:pBdr/>
        <w:spacing/>
        <w:ind/>
        <w:jc w:val="both"/>
        <w:rPr>
          <w:rFonts w:ascii="Arial" w:hAnsi="Arial" w:cs="Arial"/>
          <w:b/>
          <w:color w:val="231f20"/>
        </w:rPr>
      </w:pPr>
      <w:r>
        <w:rPr>
          <w:rFonts w:ascii="Arial" w:hAnsi="Arial" w:cs="Arial"/>
          <w:b/>
          <w:color w:val="231f20"/>
        </w:rPr>
      </w:r>
      <w:r>
        <w:rPr>
          <w:rFonts w:ascii="Arial" w:hAnsi="Arial" w:cs="Arial"/>
          <w:b/>
          <w:color w:val="231f20"/>
        </w:rPr>
      </w:r>
    </w:p>
    <w:p w14:paraId="5EADC4EE" w14:textId="77777777">
      <w:pPr>
        <w:pBdr/>
        <w:spacing/>
        <w:ind/>
        <w:jc w:val="both"/>
        <w:rPr/>
      </w:pPr>
      <w:r>
        <w:rPr>
          <w:rFonts w:ascii="Arial" w:hAnsi="Arial" w:cs="Arial"/>
          <w:b/>
          <w:color w:val="231f20"/>
        </w:rPr>
        <w:t xml:space="preserve">16.1.2.</w:t>
      </w:r>
      <w:r>
        <w:rPr>
          <w:rFonts w:ascii="Arial" w:hAnsi="Arial" w:cs="Arial"/>
          <w:color w:val="231f20"/>
        </w:rPr>
        <w:t xml:space="preserve"> O Detentor deve as</w:t>
      </w:r>
      <w:r>
        <w:rPr>
          <w:rFonts w:ascii="Arial" w:hAnsi="Arial" w:cs="Arial"/>
          <w:color w:val="231f20"/>
        </w:rPr>
        <w:t xml:space="preserve">segurar-se de que todos os seus colaboradores, consultores e/ou prestadores de serviços que, no exercício das suas atividades, tenham acesso e/ou conhecimento da informação e/ou dos dados pessoais, respeitem o dever de proteção, confidencialidade e sigilo.</w:t>
      </w:r>
      <w:r/>
    </w:p>
    <w:p w14:paraId="4B68D5AC" w14:textId="77777777">
      <w:pPr>
        <w:pBdr/>
        <w:spacing/>
        <w:ind/>
        <w:jc w:val="both"/>
        <w:rPr/>
      </w:pPr>
      <w:r>
        <w:rPr>
          <w:rFonts w:ascii="Arial" w:hAnsi="Arial" w:cs="Arial"/>
          <w:color w:val="231f20"/>
        </w:rPr>
        <w:t xml:space="preserve"> </w:t>
      </w:r>
      <w:r/>
    </w:p>
    <w:p w14:paraId="0FDA00F4" w14:textId="77777777">
      <w:pPr>
        <w:pBdr/>
        <w:spacing/>
        <w:ind/>
        <w:jc w:val="both"/>
        <w:rPr/>
      </w:pPr>
      <w:r>
        <w:rPr>
          <w:rFonts w:ascii="Arial" w:hAnsi="Arial" w:cs="Arial"/>
          <w:b/>
          <w:color w:val="231f20"/>
        </w:rPr>
        <w:t xml:space="preserve">16.1.3.</w:t>
      </w:r>
      <w:r>
        <w:rPr>
          <w:rFonts w:ascii="Arial" w:hAnsi="Arial" w:cs="Arial"/>
          <w:color w:val="231f20"/>
        </w:rPr>
        <w:t xml:space="preserve"> O Detentor não poderá utilizar-se de informação, dados pessoais e/ou base de dados a que tenha acesso, para fins distintos ao cumprimento do objeto deste instrumento contratual.</w:t>
      </w:r>
      <w:r/>
    </w:p>
    <w:p w14:paraId="39633F79" w14:textId="77777777">
      <w:pPr>
        <w:pBdr/>
        <w:spacing/>
        <w:ind/>
        <w:jc w:val="both"/>
        <w:rPr/>
      </w:pPr>
      <w:r>
        <w:rPr>
          <w:rFonts w:ascii="Arial" w:hAnsi="Arial" w:cs="Arial"/>
          <w:color w:val="231f20"/>
        </w:rPr>
        <w:t xml:space="preserve"> </w:t>
      </w:r>
      <w:r/>
    </w:p>
    <w:p w14:paraId="2F86CC97" w14:textId="77777777">
      <w:pPr>
        <w:pBdr/>
        <w:spacing/>
        <w:ind/>
        <w:jc w:val="both"/>
        <w:rPr/>
      </w:pPr>
      <w:r>
        <w:rPr>
          <w:rFonts w:ascii="Arial" w:hAnsi="Arial" w:cs="Arial"/>
          <w:b/>
          <w:color w:val="231f20"/>
        </w:rPr>
        <w:t xml:space="preserve">16.1.4.</w:t>
      </w:r>
      <w:r>
        <w:rPr>
          <w:rFonts w:ascii="Arial" w:hAnsi="Arial" w:cs="Arial"/>
          <w:color w:val="231f20"/>
        </w:rPr>
        <w:tab/>
        <w:t xml:space="preserve">O Detentor não poderá disponibilizar e/ou transmitir a terceiros, sem prévia autorização escrita, informação, dados pessoais e/ou base de dados a que tenha acesso em razão do cumprimento do objeto deste instrumento contratual. </w:t>
      </w:r>
      <w:r/>
    </w:p>
    <w:p w14:paraId="61638935"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4293939D" w14:textId="77777777">
      <w:pPr>
        <w:pBdr/>
        <w:spacing/>
        <w:ind/>
        <w:jc w:val="both"/>
        <w:rPr/>
      </w:pPr>
      <w:r>
        <w:rPr>
          <w:rFonts w:ascii="Arial" w:hAnsi="Arial" w:cs="Arial"/>
          <w:b/>
          <w:color w:val="231f20"/>
        </w:rPr>
        <w:t xml:space="preserve">16.1.4.1.</w:t>
      </w:r>
      <w:r>
        <w:rPr>
          <w:rFonts w:ascii="Arial" w:hAnsi="Arial" w:cs="Arial"/>
          <w:color w:val="231f20"/>
        </w:rPr>
        <w:t xml:space="preserve"> O Detentor obriga-se a fornecer informação, dados pessoais e/ou base de dados estritamente necessários caso quando da transmissão autorizada a terceiros durante o cumprimento do objeto descrito neste instrumento contratual.</w:t>
      </w:r>
      <w:r/>
    </w:p>
    <w:p w14:paraId="3292D450" w14:textId="77777777">
      <w:pPr>
        <w:pBdr/>
        <w:spacing/>
        <w:ind/>
        <w:jc w:val="both"/>
        <w:rPr/>
      </w:pPr>
      <w:r>
        <w:rPr>
          <w:rFonts w:ascii="Arial" w:hAnsi="Arial" w:cs="Arial"/>
          <w:color w:val="231f20"/>
        </w:rPr>
        <w:t xml:space="preserve"> </w:t>
      </w:r>
      <w:r/>
    </w:p>
    <w:p w14:paraId="45E7D894" w14:textId="77777777">
      <w:pPr>
        <w:pBdr/>
        <w:spacing/>
        <w:ind/>
        <w:jc w:val="both"/>
        <w:rPr/>
      </w:pPr>
      <w:r>
        <w:rPr>
          <w:rFonts w:ascii="Arial" w:hAnsi="Arial" w:cs="Arial"/>
          <w:b/>
          <w:color w:val="231f20"/>
        </w:rPr>
        <w:t xml:space="preserve">16.1.5.</w:t>
      </w:r>
      <w:r>
        <w:rPr>
          <w:rFonts w:ascii="Arial" w:hAnsi="Arial" w:cs="Arial"/>
          <w:color w:val="231f20"/>
        </w:rPr>
        <w:t xml:space="preserve"> O Detentor fica obrigado a devolver todos os documentos, registros e cópias que contenham informação, dados pessoais e/ou ba</w:t>
      </w:r>
      <w:r>
        <w:rPr>
          <w:rFonts w:ascii="Arial" w:hAnsi="Arial" w:cs="Arial"/>
          <w:color w:val="231f20"/>
        </w:rPr>
        <w:t xml:space="preserve">se de dados a que tenha tido acesso durante a execução do cumprimento do objeto deste instrumento contratual no prazo de 30 (trinta) dias corridos contados da rescisão contratual, restando autorizada a conservação apenas nas hipóteses legalmente previstas.</w:t>
      </w:r>
      <w:r/>
    </w:p>
    <w:p w14:paraId="6A6C8599" w14:textId="77777777">
      <w:pPr>
        <w:pBdr/>
        <w:spacing/>
        <w:ind/>
        <w:jc w:val="both"/>
        <w:rPr/>
      </w:pPr>
      <w:r>
        <w:rPr>
          <w:rFonts w:ascii="Arial" w:hAnsi="Arial" w:cs="Arial"/>
          <w:color w:val="231f20"/>
        </w:rPr>
        <w:t xml:space="preserve"> </w:t>
      </w:r>
      <w:r/>
    </w:p>
    <w:p w14:paraId="604E24A2" w14:textId="77777777">
      <w:pPr>
        <w:pBdr/>
        <w:spacing/>
        <w:ind/>
        <w:jc w:val="both"/>
        <w:rPr/>
      </w:pPr>
      <w:r>
        <w:rPr>
          <w:rFonts w:ascii="Arial" w:hAnsi="Arial" w:cs="Arial"/>
          <w:b/>
          <w:color w:val="231f20"/>
        </w:rPr>
        <w:t xml:space="preserve">16.1.5.1.</w:t>
      </w:r>
      <w:r>
        <w:rPr>
          <w:rFonts w:ascii="Arial" w:hAnsi="Arial" w:cs="Arial"/>
          <w:color w:val="231f20"/>
        </w:rPr>
        <w:t xml:space="preserve"> Ao Detentor não será permitido deter cópias ou backups, informação, dados pessoais e/ou base de dados a que tenha tido acesso durante a execução do cumprimento do objeto deste instrumento contratual.</w:t>
      </w:r>
      <w:r/>
    </w:p>
    <w:p w14:paraId="30E043D4"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2696E1DA" w14:textId="77777777">
      <w:pPr>
        <w:pBdr/>
        <w:spacing/>
        <w:ind/>
        <w:jc w:val="both"/>
        <w:rPr/>
      </w:pPr>
      <w:r>
        <w:rPr>
          <w:rFonts w:ascii="Arial" w:hAnsi="Arial" w:cs="Arial"/>
          <w:b/>
          <w:color w:val="231f20"/>
        </w:rPr>
        <w:t xml:space="preserve">16.1.5.1.1.</w:t>
      </w:r>
      <w:r>
        <w:rPr>
          <w:rFonts w:ascii="Arial" w:hAnsi="Arial" w:cs="Arial"/>
          <w:color w:val="231f20"/>
        </w:rPr>
        <w:t xml:space="preserve"> O Detentor deverá eliminar os dados pessoais a que tiver conhecimento ou posse em razão do cumprimento do objeto deste instrumento contratual tão logo não haja necessidade de realizar seu tratamento.</w:t>
      </w:r>
      <w:r/>
    </w:p>
    <w:p w14:paraId="056326C4" w14:textId="77777777">
      <w:pPr>
        <w:pBdr/>
        <w:spacing/>
        <w:ind/>
        <w:jc w:val="both"/>
        <w:rPr/>
      </w:pPr>
      <w:r>
        <w:rPr>
          <w:rFonts w:ascii="Arial" w:hAnsi="Arial" w:cs="Arial"/>
          <w:color w:val="231f20"/>
        </w:rPr>
        <w:t xml:space="preserve"> </w:t>
      </w:r>
      <w:r/>
    </w:p>
    <w:p w14:paraId="47D2D404" w14:textId="77777777">
      <w:pPr>
        <w:pBdr/>
        <w:spacing/>
        <w:ind/>
        <w:jc w:val="both"/>
        <w:rPr/>
      </w:pPr>
      <w:r>
        <w:rPr>
          <w:rFonts w:ascii="Arial" w:hAnsi="Arial" w:cs="Arial"/>
          <w:b/>
          <w:color w:val="231f20"/>
        </w:rPr>
        <w:t xml:space="preserve">16.1.6.</w:t>
      </w:r>
      <w:r>
        <w:rPr>
          <w:rFonts w:ascii="Arial" w:hAnsi="Arial" w:cs="Arial"/>
          <w:color w:val="231f20"/>
        </w:rPr>
        <w:tab/>
        <w:t xml:space="preserve">O Detentor deverá notificar, imediatamente, o Órgão ou Entidade Gerenciadora/Órgãos Participantes no caso de vazamento, perda parcial ou total de informação, dados pessoais e/ou base de dados.</w:t>
      </w:r>
      <w:r/>
    </w:p>
    <w:p w14:paraId="7E1C7ABC" w14:textId="77777777">
      <w:pPr>
        <w:pBdr/>
        <w:spacing/>
        <w:ind/>
        <w:jc w:val="both"/>
        <w:rPr/>
      </w:pPr>
      <w:r>
        <w:rPr>
          <w:rFonts w:ascii="Arial" w:hAnsi="Arial" w:cs="Arial"/>
          <w:color w:val="231f20"/>
        </w:rPr>
        <w:t xml:space="preserve"> </w:t>
      </w:r>
      <w:r/>
    </w:p>
    <w:p w14:paraId="259D83F9" w14:textId="77777777">
      <w:pPr>
        <w:pBdr/>
        <w:spacing/>
        <w:ind/>
        <w:jc w:val="both"/>
        <w:rPr/>
      </w:pPr>
      <w:r>
        <w:rPr>
          <w:rFonts w:ascii="Arial" w:hAnsi="Arial" w:cs="Arial"/>
          <w:b/>
          <w:color w:val="231f20"/>
        </w:rPr>
        <w:t xml:space="preserve">16.1.6.1 </w:t>
      </w:r>
      <w:r>
        <w:rPr>
          <w:rFonts w:ascii="Arial" w:hAnsi="Arial" w:cs="Arial"/>
          <w:color w:val="231f20"/>
        </w:rPr>
        <w:t xml:space="preserve">A notificação não eximirá o Detentor das obrigações e/ou sanções que possam incidir em razão da perda de informação, dados pessoais e/ou base de dados.</w:t>
      </w:r>
      <w:r/>
    </w:p>
    <w:p w14:paraId="26DC9CBC" w14:textId="77777777">
      <w:pPr>
        <w:pBdr/>
        <w:spacing/>
        <w:ind/>
        <w:jc w:val="both"/>
        <w:rPr/>
      </w:pPr>
      <w:r>
        <w:rPr>
          <w:rFonts w:ascii="Arial" w:hAnsi="Arial" w:cs="Arial"/>
          <w:color w:val="231f20"/>
        </w:rPr>
        <w:t xml:space="preserve"> </w:t>
      </w:r>
      <w:r/>
    </w:p>
    <w:p w14:paraId="78759164" w14:textId="77777777">
      <w:pPr>
        <w:pBdr/>
        <w:spacing/>
        <w:ind/>
        <w:jc w:val="both"/>
        <w:rPr/>
      </w:pPr>
      <w:r>
        <w:rPr>
          <w:rFonts w:ascii="Arial" w:hAnsi="Arial" w:cs="Arial"/>
          <w:b/>
          <w:color w:val="231f20"/>
        </w:rPr>
        <w:t xml:space="preserve">16.1.6.2.</w:t>
      </w:r>
      <w:r>
        <w:rPr>
          <w:rFonts w:ascii="Arial" w:hAnsi="Arial" w:cs="Arial"/>
          <w:color w:val="231f20"/>
        </w:rPr>
        <w:t xml:space="preserve"> O Detentor que descumprir nos termos da Lei nº 13.709/2018 suas alterações e regulamentações posteri</w:t>
      </w:r>
      <w:r>
        <w:rPr>
          <w:rFonts w:ascii="Arial" w:hAnsi="Arial" w:cs="Arial"/>
          <w:color w:val="231f20"/>
        </w:rPr>
        <w:t xml:space="preserve">ores, durante ou após a execução do objeto descrito no presente instrumento contratual fica obrigado a assumir total responsabilidade e ao ressarcimento por todo e qualquer dano e/ou prejuízo sofrido, incluindo sanções aplicadas pela autoridade competente.</w:t>
      </w:r>
      <w:r/>
    </w:p>
    <w:p w14:paraId="515792E7" w14:textId="77777777">
      <w:pPr>
        <w:pBdr/>
        <w:spacing/>
        <w:ind/>
        <w:jc w:val="both"/>
        <w:rPr/>
      </w:pPr>
      <w:r>
        <w:rPr>
          <w:rFonts w:ascii="Arial" w:hAnsi="Arial" w:cs="Arial"/>
          <w:color w:val="231f20"/>
        </w:rPr>
        <w:t xml:space="preserve"> </w:t>
      </w:r>
      <w:r/>
    </w:p>
    <w:p w14:paraId="27AB7F36" w14:textId="77777777">
      <w:pPr>
        <w:pBdr/>
        <w:spacing/>
        <w:ind/>
        <w:jc w:val="both"/>
        <w:rPr/>
      </w:pPr>
      <w:r>
        <w:rPr>
          <w:rFonts w:ascii="Arial" w:hAnsi="Arial" w:cs="Arial"/>
          <w:b/>
          <w:color w:val="231f20"/>
        </w:rPr>
        <w:t xml:space="preserve">16.1.7.</w:t>
      </w:r>
      <w:r>
        <w:rPr>
          <w:rFonts w:ascii="Arial" w:hAnsi="Arial" w:cs="Arial"/>
          <w:color w:val="231f20"/>
        </w:rPr>
        <w:t xml:space="preserve"> O Detentor fica obrigado a manter preposto para comunicação com o Órgão ou Entidade Gerenciadora/ para os assuntos pertinentes à Lei nº 13.709/2018 suas alterações e regulamentações posteriores.</w:t>
      </w:r>
      <w:r/>
    </w:p>
    <w:p w14:paraId="793C058B" w14:textId="77777777">
      <w:pPr>
        <w:pBdr/>
        <w:spacing/>
        <w:ind/>
        <w:jc w:val="both"/>
        <w:rPr/>
      </w:pPr>
      <w:r>
        <w:rPr>
          <w:rFonts w:ascii="Arial" w:hAnsi="Arial" w:cs="Arial"/>
          <w:color w:val="231f20"/>
        </w:rPr>
        <w:t xml:space="preserve"> </w:t>
      </w:r>
      <w:r/>
    </w:p>
    <w:p w14:paraId="0EAD97EA" w14:textId="77777777">
      <w:pPr>
        <w:pBdr/>
        <w:spacing/>
        <w:ind/>
        <w:jc w:val="both"/>
        <w:rPr/>
      </w:pPr>
      <w:r>
        <w:rPr>
          <w:rFonts w:ascii="Arial" w:hAnsi="Arial" w:cs="Arial"/>
          <w:b/>
          <w:color w:val="231f20"/>
        </w:rPr>
        <w:t xml:space="preserve">16.1.8.</w:t>
      </w:r>
      <w:r>
        <w:rPr>
          <w:rFonts w:ascii="Arial" w:hAnsi="Arial" w:cs="Arial"/>
          <w:color w:val="231f20"/>
        </w:rPr>
        <w:t xml:space="preserve"> O dever de sigilo e confidencialidade, e as demais obrigações descritas na presente cláusula, permanecerão em vigor após a extinção das relações entre o Detentor e o Órgão ou Entidade Gerenciadora/Órgãos Pa</w:t>
      </w:r>
      <w:r>
        <w:rPr>
          <w:rFonts w:ascii="Arial" w:hAnsi="Arial" w:cs="Arial"/>
          <w:color w:val="231f20"/>
        </w:rPr>
        <w:t xml:space="preserve">rticipantes, bem como, entre o Detentor e os seus colaboradores, subcontratados, consultores e/ou prestadores de serviços sob pena das sanções previstas na Lei nº 13.709/2018, suas alterações e regulamentações posteriores, salvo decisão judicial contrária.</w:t>
      </w:r>
      <w:r/>
    </w:p>
    <w:p w14:paraId="34A9AD92"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6C749167" w14:textId="77777777">
      <w:pPr>
        <w:pBdr/>
        <w:spacing/>
        <w:ind/>
        <w:jc w:val="both"/>
        <w:rPr/>
      </w:pPr>
      <w:r>
        <w:rPr>
          <w:rFonts w:ascii="Arial" w:hAnsi="Arial" w:cs="Arial"/>
          <w:b/>
          <w:color w:val="231f20"/>
        </w:rPr>
        <w:t xml:space="preserve">16.1.9</w:t>
      </w:r>
      <w:r>
        <w:rPr>
          <w:rFonts w:ascii="Arial" w:hAnsi="Arial" w:cs="Arial"/>
          <w:color w:val="231f20"/>
        </w:rPr>
        <w:t xml:space="preserve">. O não cumprimento de quaisquer das obrigações descritas nesta cláusula sujeitará o Detentor a processo administrativo para apuração de responsabilidade e, consequente, sanção, sem prejuízo de outras cominações cíveis e penais.</w:t>
      </w:r>
      <w:r/>
    </w:p>
    <w:p w14:paraId="4EFB14AD" w14:textId="77777777">
      <w:pPr>
        <w:pBdr/>
        <w:spacing/>
        <w:ind/>
        <w:jc w:val="both"/>
        <w:rPr>
          <w:rFonts w:ascii="Arial" w:hAnsi="Arial" w:cs="Arial"/>
          <w:b/>
          <w:color w:val="231f20"/>
        </w:rPr>
      </w:pPr>
      <w:r>
        <w:rPr>
          <w:rFonts w:ascii="Arial" w:hAnsi="Arial" w:cs="Arial"/>
          <w:b/>
          <w:color w:val="231f20"/>
        </w:rPr>
      </w:r>
      <w:r>
        <w:rPr>
          <w:rFonts w:ascii="Arial" w:hAnsi="Arial" w:cs="Arial"/>
          <w:b/>
          <w:color w:val="231f20"/>
        </w:rPr>
      </w:r>
    </w:p>
    <w:p w14:paraId="11551F38" w14:textId="77777777">
      <w:pPr>
        <w:pBdr/>
        <w:spacing/>
        <w:ind/>
        <w:jc w:val="both"/>
        <w:rPr/>
      </w:pPr>
      <w:r>
        <w:rPr>
          <w:rFonts w:ascii="Arial" w:hAnsi="Arial" w:cs="Arial"/>
          <w:b/>
        </w:rPr>
        <w:t xml:space="preserve">CLÁUSULA DÉCIMA SÉTIMA - DAS SANÇÕES ADMINISTRATIVAS:</w:t>
      </w:r>
      <w:r/>
    </w:p>
    <w:p w14:paraId="099B702D" w14:textId="77777777">
      <w:pPr>
        <w:pBdr/>
        <w:spacing/>
        <w:ind/>
        <w:jc w:val="both"/>
        <w:rPr>
          <w:rFonts w:ascii="Arial" w:hAnsi="Arial" w:cs="Arial"/>
          <w:b/>
          <w:color w:val="231f20"/>
        </w:rPr>
      </w:pPr>
      <w:r>
        <w:rPr>
          <w:rFonts w:ascii="Arial" w:hAnsi="Arial" w:cs="Arial"/>
          <w:b/>
          <w:color w:val="231f20"/>
        </w:rPr>
      </w:r>
      <w:r>
        <w:rPr>
          <w:rFonts w:ascii="Arial" w:hAnsi="Arial" w:cs="Arial"/>
          <w:b/>
          <w:color w:val="231f20"/>
        </w:rPr>
      </w:r>
    </w:p>
    <w:p w14:paraId="2B2B371B" w14:textId="77777777">
      <w:pPr>
        <w:pBdr/>
        <w:spacing/>
        <w:ind/>
        <w:jc w:val="both"/>
        <w:rPr/>
      </w:pPr>
      <w:r>
        <w:rPr>
          <w:rFonts w:ascii="Arial" w:hAnsi="Arial" w:cs="Arial"/>
          <w:b/>
          <w:color w:val="231f20"/>
        </w:rPr>
        <w:t xml:space="preserve">17.1.</w:t>
      </w:r>
      <w:r>
        <w:rPr>
          <w:rFonts w:ascii="Arial" w:hAnsi="Arial" w:cs="Arial"/>
          <w:color w:val="231f20"/>
        </w:rPr>
        <w:t xml:space="preserve"> O descumprimento das obrigações assumidas caracterizará a inadimplência do Detentor, sujeitando-o às seguintes penalidades, na forma do Decreto nº </w:t>
      </w:r>
      <w:bookmarkStart w:id="46" w:name="_Hlk139891007"/>
      <w:r>
        <w:rPr>
          <w:rFonts w:ascii="Arial" w:hAnsi="Arial" w:cs="Arial"/>
          <w:color w:val="231f20"/>
        </w:rPr>
        <w:t xml:space="preserve">11.685/2023:</w:t>
      </w:r>
      <w:bookmarkEnd w:id="46"/>
      <w:r/>
      <w:r/>
    </w:p>
    <w:p w14:paraId="33EDC899"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44355B7D" w14:textId="77777777">
      <w:pPr>
        <w:pBdr/>
        <w:spacing/>
        <w:ind/>
        <w:jc w:val="both"/>
        <w:rPr/>
      </w:pPr>
      <w:r>
        <w:rPr>
          <w:rFonts w:ascii="Arial" w:hAnsi="Arial" w:cs="Arial"/>
          <w:b/>
          <w:color w:val="231f20"/>
        </w:rPr>
        <w:t xml:space="preserve">17.1.1.</w:t>
      </w:r>
      <w:r>
        <w:rPr>
          <w:rFonts w:ascii="Arial" w:hAnsi="Arial" w:cs="Arial"/>
          <w:color w:val="231f20"/>
        </w:rPr>
        <w:t xml:space="preserve"> Advertência;</w:t>
      </w:r>
      <w:r/>
    </w:p>
    <w:p w14:paraId="4E03B64E"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7F75BDC0" w14:textId="77777777">
      <w:pPr>
        <w:pBdr/>
        <w:spacing/>
        <w:ind/>
        <w:jc w:val="both"/>
        <w:rPr/>
      </w:pPr>
      <w:r>
        <w:rPr>
          <w:rFonts w:ascii="Arial" w:hAnsi="Arial" w:cs="Arial"/>
          <w:b/>
          <w:color w:val="231f20"/>
        </w:rPr>
        <w:t xml:space="preserve">17.1.2.</w:t>
      </w:r>
      <w:r>
        <w:rPr>
          <w:rFonts w:ascii="Arial" w:hAnsi="Arial" w:cs="Arial"/>
          <w:color w:val="231f20"/>
        </w:rPr>
        <w:t xml:space="preserve"> Multas nos seguintes percentuais:</w:t>
      </w:r>
      <w:r/>
    </w:p>
    <w:p w14:paraId="62FD72C6"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3028F1DE" w14:textId="77777777">
      <w:pPr>
        <w:pBdr/>
        <w:spacing/>
        <w:ind/>
        <w:jc w:val="both"/>
        <w:rPr/>
      </w:pPr>
      <w:r>
        <w:rPr>
          <w:rFonts w:ascii="Arial" w:hAnsi="Arial" w:cs="Arial"/>
          <w:b/>
          <w:color w:val="231f20"/>
        </w:rPr>
        <w:t xml:space="preserve">a)</w:t>
      </w:r>
      <w:r>
        <w:rPr>
          <w:rFonts w:ascii="Arial" w:hAnsi="Arial" w:cs="Arial"/>
          <w:color w:val="231f20"/>
        </w:rPr>
        <w:t xml:space="preserve"> multa moratória de 0,5% (cinco décimos por cento) por dia de atraso na entrega de material ou execução de serviços, recaindo o cálculo sobre o valor da parcela inadimplida, até o limite de 30% (trinta por cento) do contrato ou do instrumento equivalente.</w:t>
      </w:r>
      <w:r/>
    </w:p>
    <w:p w14:paraId="2DD3A69E"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2BABD47D" w14:textId="77777777">
      <w:pPr>
        <w:pBdr/>
        <w:spacing/>
        <w:ind/>
        <w:jc w:val="both"/>
        <w:rPr/>
      </w:pPr>
      <w:r>
        <w:rPr>
          <w:rFonts w:ascii="Arial" w:hAnsi="Arial" w:cs="Arial"/>
          <w:b/>
          <w:color w:val="231f20"/>
        </w:rPr>
        <w:t xml:space="preserve">b)</w:t>
      </w:r>
      <w:r>
        <w:rPr>
          <w:rFonts w:ascii="Arial" w:hAnsi="Arial" w:cs="Arial"/>
          <w:color w:val="231f20"/>
        </w:rPr>
        <w:t xml:space="preserve"> multa compensatória de até 3% (três por cento) sobre o valor de referência ao contratado que retardar o procedimento de contratação, descumprir preceito normativo ou obrigações assumidas.</w:t>
      </w:r>
      <w:r/>
    </w:p>
    <w:p w14:paraId="7A03981F"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76EFDFDC" w14:textId="77777777">
      <w:pPr>
        <w:pBdr/>
        <w:spacing/>
        <w:ind/>
        <w:jc w:val="both"/>
        <w:rPr/>
      </w:pPr>
      <w:r>
        <w:rPr>
          <w:rFonts w:ascii="Arial" w:hAnsi="Arial" w:cs="Arial"/>
          <w:b/>
          <w:color w:val="231f20"/>
        </w:rPr>
        <w:t xml:space="preserve">c)</w:t>
      </w:r>
      <w:r>
        <w:rPr>
          <w:rFonts w:ascii="Arial" w:hAnsi="Arial" w:cs="Arial"/>
          <w:color w:val="231f20"/>
        </w:rPr>
        <w:t xml:space="preserve"> multa compensatória de até 5% (cinco por</w:t>
      </w:r>
      <w:r>
        <w:rPr>
          <w:rFonts w:ascii="Arial" w:hAnsi="Arial" w:cs="Arial"/>
          <w:color w:val="231f20"/>
        </w:rPr>
        <w:t xml:space="preserve"> cento) sobre o valor da parcela inadimplida ao contratado que entregar o objeto contratual em desacordo com as especificações, condições e qualidade contratadas ou com irregularidades ou defeitos ocultos que o tornem impróprio para o fim a que se destina.</w:t>
      </w:r>
      <w:r/>
    </w:p>
    <w:p w14:paraId="6B6BEBD6"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264366C2" w14:textId="77777777">
      <w:pPr>
        <w:pBdr/>
        <w:spacing/>
        <w:ind/>
        <w:jc w:val="both"/>
        <w:rPr/>
      </w:pPr>
      <w:r>
        <w:rPr>
          <w:rFonts w:ascii="Arial" w:hAnsi="Arial" w:cs="Arial"/>
          <w:b/>
          <w:color w:val="231f20"/>
        </w:rPr>
        <w:t xml:space="preserve">d)</w:t>
      </w:r>
      <w:r>
        <w:rPr>
          <w:rFonts w:ascii="Arial" w:hAnsi="Arial" w:cs="Arial"/>
          <w:color w:val="231f20"/>
        </w:rPr>
        <w:t xml:space="preserve"> multa compensatória de até 30% (trinta por cento) do valor do contrato em razão do cometimento das infrações administrativas previstas no Decreto Municipal nº 11.685/2023</w:t>
      </w:r>
      <w:r/>
    </w:p>
    <w:p w14:paraId="02C9D741"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145383A0" w14:textId="77777777">
      <w:pPr>
        <w:pBdr/>
        <w:spacing/>
        <w:ind/>
        <w:jc w:val="both"/>
        <w:rPr/>
      </w:pPr>
      <w:r>
        <w:rPr>
          <w:rFonts w:ascii="Arial" w:hAnsi="Arial" w:cs="Arial"/>
          <w:b/>
          <w:color w:val="231f20"/>
        </w:rPr>
        <w:t xml:space="preserve">17.1.3.</w:t>
      </w:r>
      <w:r>
        <w:rPr>
          <w:rFonts w:ascii="Arial" w:hAnsi="Arial" w:cs="Arial"/>
          <w:color w:val="231f20"/>
        </w:rPr>
        <w:t xml:space="preserve"> Impedimento de licitar e contratar;</w:t>
      </w:r>
      <w:r/>
    </w:p>
    <w:p w14:paraId="62ED4EA4"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44EEDF4A" w14:textId="77777777">
      <w:pPr>
        <w:pBdr/>
        <w:spacing/>
        <w:ind/>
        <w:jc w:val="both"/>
        <w:rPr/>
      </w:pPr>
      <w:r>
        <w:rPr>
          <w:rFonts w:ascii="Arial" w:hAnsi="Arial" w:cs="Arial"/>
          <w:b/>
          <w:color w:val="231f20"/>
        </w:rPr>
        <w:t xml:space="preserve">17.1.4.</w:t>
      </w:r>
      <w:r>
        <w:rPr>
          <w:rFonts w:ascii="Arial" w:hAnsi="Arial" w:cs="Arial"/>
          <w:color w:val="231f20"/>
        </w:rPr>
        <w:t xml:space="preserve"> Declaração de inidoneidade para licitar e contratar.</w:t>
      </w:r>
      <w:r/>
    </w:p>
    <w:p w14:paraId="1AF90170"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5DB8DA36" w14:textId="77777777">
      <w:pPr>
        <w:pBdr/>
        <w:spacing/>
        <w:ind/>
        <w:jc w:val="both"/>
        <w:rPr/>
      </w:pPr>
      <w:r>
        <w:rPr>
          <w:rFonts w:ascii="Arial" w:hAnsi="Arial" w:cs="Arial"/>
          <w:b/>
          <w:color w:val="231f20"/>
        </w:rPr>
        <w:t xml:space="preserve">17.2.</w:t>
      </w:r>
      <w:r>
        <w:rPr>
          <w:rFonts w:ascii="Arial" w:hAnsi="Arial" w:cs="Arial"/>
          <w:color w:val="231f20"/>
        </w:rPr>
        <w:t xml:space="preserve"> A multa moratória pode ser aplicada cumulativamente com as demais multas previstas.</w:t>
      </w:r>
      <w:r/>
    </w:p>
    <w:p w14:paraId="1798301F"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447ADB52" w14:textId="77777777">
      <w:pPr>
        <w:pBdr/>
        <w:spacing/>
        <w:ind/>
        <w:jc w:val="both"/>
        <w:rPr/>
      </w:pPr>
      <w:r>
        <w:rPr>
          <w:rFonts w:ascii="Arial" w:hAnsi="Arial" w:cs="Arial"/>
          <w:b/>
          <w:color w:val="231f20"/>
        </w:rPr>
        <w:t xml:space="preserve">17.3.</w:t>
      </w:r>
      <w:r>
        <w:rPr>
          <w:rFonts w:ascii="Arial" w:hAnsi="Arial" w:cs="Arial"/>
          <w:color w:val="231f20"/>
        </w:rPr>
        <w:t xml:space="preserve"> As penalidades de advertência e multa serão aplicadas pelo Diretor competente.</w:t>
      </w:r>
      <w:r/>
    </w:p>
    <w:p w14:paraId="383CAC43"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0AA94728" w14:textId="77777777">
      <w:pPr>
        <w:pBdr/>
        <w:spacing/>
        <w:ind/>
        <w:jc w:val="both"/>
        <w:rPr/>
      </w:pPr>
      <w:r>
        <w:rPr>
          <w:rFonts w:ascii="Arial" w:hAnsi="Arial" w:cs="Arial"/>
          <w:b/>
          <w:color w:val="231f20"/>
        </w:rPr>
        <w:t xml:space="preserve">17.4.</w:t>
      </w:r>
      <w:r>
        <w:rPr>
          <w:rFonts w:ascii="Arial" w:hAnsi="Arial" w:cs="Arial"/>
          <w:color w:val="231f20"/>
        </w:rPr>
        <w:t xml:space="preserve"> A penalidade de impedimento de licitar e contratar será aplicada pelo Secretário Municipal ou ocupante de cargo equivalente, nos demais órgãos e entidades da administração direta ou indireta.</w:t>
      </w:r>
      <w:r/>
    </w:p>
    <w:p w14:paraId="1B1B8195"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0946DF83" w14:textId="77777777">
      <w:pPr>
        <w:pBdr/>
        <w:spacing/>
        <w:ind/>
        <w:jc w:val="both"/>
        <w:rPr/>
      </w:pPr>
      <w:r>
        <w:rPr>
          <w:rFonts w:ascii="Arial" w:hAnsi="Arial" w:cs="Arial"/>
          <w:b/>
          <w:color w:val="231f20"/>
        </w:rPr>
        <w:t xml:space="preserve">17.5.</w:t>
      </w:r>
      <w:r>
        <w:rPr>
          <w:rFonts w:ascii="Arial" w:hAnsi="Arial" w:cs="Arial"/>
          <w:color w:val="231f20"/>
        </w:rPr>
        <w:t xml:space="preserve"> A penalidade de declaração de inidoneidade será aplicada pelo Secretário ou autoridade máxima da entidade, nos demais órgãos e entidades da administração direta ou indireta.</w:t>
      </w:r>
      <w:r/>
    </w:p>
    <w:p w14:paraId="7EF968C5"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41355902" w14:textId="77777777">
      <w:pPr>
        <w:pBdr/>
        <w:spacing/>
        <w:ind/>
        <w:jc w:val="both"/>
        <w:rPr/>
      </w:pPr>
      <w:r>
        <w:rPr>
          <w:rFonts w:ascii="Arial" w:hAnsi="Arial" w:cs="Arial"/>
          <w:b/>
          <w:color w:val="231f20"/>
        </w:rPr>
        <w:t xml:space="preserve">17.6.</w:t>
      </w:r>
      <w:r>
        <w:rPr>
          <w:rFonts w:ascii="Arial" w:hAnsi="Arial" w:cs="Arial"/>
          <w:color w:val="231f20"/>
        </w:rPr>
        <w:t xml:space="preserve"> A notificada poderá apresentar defesa escrita, no prazo de 15 (quinze) dias úteis, cujo termo inicial será:</w:t>
      </w:r>
      <w:r/>
    </w:p>
    <w:p w14:paraId="36A47CEA"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5F58F905" w14:textId="77777777">
      <w:pPr>
        <w:pBdr/>
        <w:spacing/>
        <w:ind/>
        <w:jc w:val="both"/>
        <w:rPr/>
      </w:pPr>
      <w:r>
        <w:rPr>
          <w:rFonts w:ascii="Arial" w:hAnsi="Arial" w:cs="Arial"/>
          <w:b/>
          <w:color w:val="231f20"/>
        </w:rPr>
        <w:t xml:space="preserve">a)</w:t>
      </w:r>
      <w:r>
        <w:rPr>
          <w:rFonts w:ascii="Arial" w:hAnsi="Arial" w:cs="Arial"/>
          <w:color w:val="231f20"/>
        </w:rPr>
        <w:t xml:space="preserve"> o primeiro dia após a confirmação do recebimento da notificação por e-mail;</w:t>
      </w:r>
      <w:r/>
    </w:p>
    <w:p w14:paraId="735610C0"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47CD9115" w14:textId="77777777">
      <w:pPr>
        <w:pBdr/>
        <w:spacing/>
        <w:ind/>
        <w:jc w:val="both"/>
        <w:rPr/>
      </w:pPr>
      <w:r>
        <w:rPr>
          <w:rFonts w:ascii="Arial" w:hAnsi="Arial" w:cs="Arial"/>
          <w:b/>
          <w:color w:val="231f20"/>
        </w:rPr>
        <w:t xml:space="preserve">b)</w:t>
      </w:r>
      <w:r>
        <w:rPr>
          <w:rFonts w:ascii="Arial" w:hAnsi="Arial" w:cs="Arial"/>
          <w:color w:val="231f20"/>
        </w:rPr>
        <w:t xml:space="preserve"> o primeiro dia após a juntada ao processo do Aviso de Recebimento da correspondência em que a notificação foi enviada;</w:t>
      </w:r>
      <w:r/>
    </w:p>
    <w:p w14:paraId="3443ABDF"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23254A4D" w14:textId="77777777">
      <w:pPr>
        <w:pBdr/>
        <w:spacing/>
        <w:ind/>
        <w:jc w:val="both"/>
        <w:rPr/>
      </w:pPr>
      <w:r>
        <w:rPr>
          <w:rFonts w:ascii="Arial" w:hAnsi="Arial" w:cs="Arial"/>
          <w:b/>
          <w:color w:val="231f20"/>
        </w:rPr>
        <w:t xml:space="preserve">c)</w:t>
      </w:r>
      <w:r>
        <w:rPr>
          <w:rFonts w:ascii="Arial" w:hAnsi="Arial" w:cs="Arial"/>
          <w:color w:val="231f20"/>
        </w:rPr>
        <w:t xml:space="preserve"> o primeiro dia após o fim do prazo de 5 (cinco) dias, quando a notificação for publicada no DIORONDON.</w:t>
      </w:r>
      <w:r/>
    </w:p>
    <w:p w14:paraId="68A03FF7"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66C2D852" w14:textId="77777777">
      <w:pPr>
        <w:pBdr/>
        <w:spacing/>
        <w:ind/>
        <w:jc w:val="both"/>
        <w:rPr/>
      </w:pPr>
      <w:r>
        <w:rPr>
          <w:rFonts w:ascii="Arial" w:hAnsi="Arial" w:cs="Arial"/>
          <w:b/>
          <w:color w:val="231f20"/>
        </w:rPr>
        <w:t xml:space="preserve">17.7.</w:t>
      </w:r>
      <w:r>
        <w:rPr>
          <w:rFonts w:ascii="Arial" w:hAnsi="Arial" w:cs="Arial"/>
          <w:color w:val="231f20"/>
        </w:rPr>
        <w:t xml:space="preserve"> No caso de aplicação das penalidades de advertência, multa ou impedimento de licitar e contratar será concedido prazo de 15 (quinze) dias para apresentação de recurso a contar da publicação da decisão condenatória no DIORONDON.</w:t>
      </w:r>
      <w:r/>
    </w:p>
    <w:p w14:paraId="5BF1A9B7"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6108A8D8" w14:textId="77777777">
      <w:pPr>
        <w:pBdr/>
        <w:spacing/>
        <w:ind/>
        <w:jc w:val="both"/>
        <w:rPr/>
      </w:pPr>
      <w:r>
        <w:rPr>
          <w:rFonts w:ascii="Arial" w:hAnsi="Arial" w:cs="Arial"/>
          <w:b/>
          <w:color w:val="231f20"/>
        </w:rPr>
        <w:t xml:space="preserve">17.8.</w:t>
      </w:r>
      <w:r>
        <w:rPr>
          <w:rFonts w:ascii="Arial" w:hAnsi="Arial" w:cs="Arial"/>
          <w:color w:val="231f20"/>
        </w:rPr>
        <w:t xml:space="preserve"> Da aplicação de sanção de declaração de inidoneidade para licitar ou contratar caberá apenas pedido de reconsideração, que deverá ser apresentado no prazo de 15 (quinze) dias úteis, contado da data da publicação da decisão no DIORONDON.</w:t>
      </w:r>
      <w:r/>
    </w:p>
    <w:p w14:paraId="24425EBB"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2138F3DE" w14:textId="77777777">
      <w:pPr>
        <w:pBdr/>
        <w:spacing/>
        <w:ind/>
        <w:jc w:val="both"/>
        <w:rPr/>
      </w:pPr>
      <w:r>
        <w:rPr>
          <w:rFonts w:ascii="Arial" w:hAnsi="Arial" w:cs="Arial"/>
          <w:b/>
          <w:color w:val="231f20"/>
        </w:rPr>
        <w:t xml:space="preserve">17.9.</w:t>
      </w:r>
      <w:r>
        <w:rPr>
          <w:rFonts w:ascii="Arial" w:hAnsi="Arial" w:cs="Arial"/>
          <w:color w:val="231f20"/>
        </w:rPr>
        <w:t xml:space="preserve"> As sanções de advertência, impedimento de licitar e contratar e declaração de inidoneidade para licitar ou contratar poderão ser aplicadas, cumulativamente ou não, à penalidade de multa.</w:t>
      </w:r>
      <w:r/>
    </w:p>
    <w:p w14:paraId="20F04D83"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3DDA6777" w14:textId="77777777">
      <w:pPr>
        <w:pBdr/>
        <w:spacing/>
        <w:ind/>
        <w:jc w:val="both"/>
        <w:rPr/>
      </w:pPr>
      <w:r>
        <w:rPr>
          <w:rFonts w:ascii="Arial" w:hAnsi="Arial" w:cs="Arial"/>
          <w:b/>
          <w:color w:val="231f20"/>
        </w:rPr>
        <w:t xml:space="preserve">17.10.</w:t>
      </w:r>
      <w:r>
        <w:rPr>
          <w:rFonts w:ascii="Arial" w:hAnsi="Arial" w:cs="Arial"/>
          <w:color w:val="231f20"/>
        </w:rPr>
        <w:t xml:space="preserve"> O recurso e o pedido de reconsideração terão efeito suspensivo do ato ou da decisão recorrida até que sobrevenha decisão final da autoridade competente.</w:t>
      </w:r>
      <w:r/>
    </w:p>
    <w:p w14:paraId="7EC02801"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2CCB9E28" w14:textId="77777777">
      <w:pPr>
        <w:pBdr/>
        <w:spacing/>
        <w:ind/>
        <w:jc w:val="both"/>
        <w:rPr/>
      </w:pPr>
      <w:r>
        <w:rPr>
          <w:rFonts w:ascii="Arial" w:hAnsi="Arial" w:cs="Arial"/>
          <w:b/>
          <w:color w:val="231f20"/>
        </w:rPr>
        <w:t xml:space="preserve">17.11. </w:t>
      </w:r>
      <w:r>
        <w:rPr>
          <w:rFonts w:ascii="Arial" w:hAnsi="Arial" w:cs="Arial"/>
          <w:color w:val="231f20"/>
        </w:rPr>
        <w:t xml:space="preserve">A aplicação das sanções previstas não exclui, em hipótese alguma, a obrigação de reparação integral dos danos causados, aplicando-se no que couber o disposto na Lei 14.133/2021 e Decreto Municipal 11.685/2023. </w:t>
      </w:r>
      <w:r/>
    </w:p>
    <w:p w14:paraId="1A7F3EAC"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1E9413AB" w14:textId="77777777">
      <w:pPr>
        <w:pBdr/>
        <w:spacing/>
        <w:ind/>
        <w:jc w:val="both"/>
        <w:rPr/>
      </w:pPr>
      <w:r>
        <w:rPr>
          <w:rFonts w:ascii="Arial" w:hAnsi="Arial" w:cs="Arial"/>
          <w:b/>
        </w:rPr>
        <w:t xml:space="preserve">18. CLÁUSULA DÉCIMA OITAVA – DAS DISPOSIÇÕES FINAIS</w:t>
      </w:r>
      <w:r/>
    </w:p>
    <w:p w14:paraId="31C35007" w14:textId="77777777">
      <w:pPr>
        <w:pBdr/>
        <w:spacing/>
        <w:ind/>
        <w:jc w:val="both"/>
        <w:rPr>
          <w:rFonts w:ascii="Arial" w:hAnsi="Arial" w:cs="Arial"/>
          <w:b/>
          <w:color w:val="231f20"/>
        </w:rPr>
      </w:pPr>
      <w:r>
        <w:rPr>
          <w:rFonts w:ascii="Arial" w:hAnsi="Arial" w:cs="Arial"/>
          <w:b/>
          <w:color w:val="231f20"/>
        </w:rPr>
      </w:r>
      <w:r>
        <w:rPr>
          <w:rFonts w:ascii="Arial" w:hAnsi="Arial" w:cs="Arial"/>
          <w:b/>
          <w:color w:val="231f20"/>
        </w:rPr>
      </w:r>
    </w:p>
    <w:p w14:paraId="2CE1EC45" w14:textId="77777777">
      <w:pPr>
        <w:pBdr/>
        <w:spacing/>
        <w:ind/>
        <w:jc w:val="both"/>
        <w:rPr/>
      </w:pPr>
      <w:r>
        <w:rPr>
          <w:rFonts w:ascii="Arial" w:hAnsi="Arial" w:cs="Arial"/>
          <w:b/>
          <w:color w:val="231f20"/>
        </w:rPr>
        <w:t xml:space="preserve">18.1.</w:t>
      </w:r>
      <w:r>
        <w:rPr>
          <w:rFonts w:ascii="Arial" w:hAnsi="Arial" w:cs="Arial"/>
          <w:color w:val="231f20"/>
        </w:rPr>
        <w:t xml:space="preserve"> Aplicam-se aos produtos todas as normas e exigências do Código de Defesa do Consumidor.  </w:t>
      </w:r>
      <w:r/>
    </w:p>
    <w:p w14:paraId="7231D0BB"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7C218294" w14:textId="77777777">
      <w:pPr>
        <w:pBdr/>
        <w:spacing/>
        <w:ind/>
        <w:jc w:val="both"/>
        <w:rPr/>
      </w:pPr>
      <w:r>
        <w:rPr>
          <w:rFonts w:ascii="Arial" w:hAnsi="Arial" w:cs="Arial"/>
          <w:b/>
          <w:color w:val="231f20"/>
        </w:rPr>
        <w:t xml:space="preserve">18.2.</w:t>
      </w:r>
      <w:r>
        <w:rPr>
          <w:rFonts w:ascii="Arial" w:hAnsi="Arial" w:cs="Arial"/>
          <w:color w:val="231f20"/>
        </w:rPr>
        <w:t xml:space="preserve"> A tolerância do Município com qualquer atraso ou inadimplência por parte do Detentor não importará de forma alguma em alteração ou novação.</w:t>
      </w:r>
      <w:r/>
    </w:p>
    <w:p w14:paraId="2C9B504B" w14:textId="77777777">
      <w:pPr>
        <w:pBdr/>
        <w:spacing/>
        <w:ind/>
        <w:jc w:val="both"/>
        <w:rPr/>
      </w:pPr>
      <w:r>
        <w:rPr>
          <w:rFonts w:ascii="Arial" w:hAnsi="Arial" w:cs="Arial"/>
          <w:b/>
          <w:color w:val="231f20"/>
        </w:rPr>
        <w:t xml:space="preserve">18.3.</w:t>
      </w:r>
      <w:r>
        <w:rPr>
          <w:rFonts w:ascii="Arial" w:hAnsi="Arial" w:cs="Arial"/>
          <w:color w:val="231f20"/>
        </w:rPr>
        <w:t xml:space="preserve"> Para ciência dos interessados e efeitos legais, a publicação do extrato da presente ARP no Diário Oficial do Município – DIORONDON. Será providenciada e correrá por conta e ônus do Município.</w:t>
      </w:r>
      <w:r/>
    </w:p>
    <w:p w14:paraId="5D640FB5"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62BB7103" w14:textId="77777777">
      <w:pPr>
        <w:pBdr/>
        <w:spacing/>
        <w:ind/>
        <w:jc w:val="both"/>
        <w:rPr/>
      </w:pPr>
      <w:r>
        <w:rPr>
          <w:rFonts w:ascii="Arial" w:hAnsi="Arial" w:cs="Arial"/>
          <w:b/>
          <w:color w:val="231f20"/>
        </w:rPr>
        <w:t xml:space="preserve">18.4.</w:t>
      </w:r>
      <w:r>
        <w:rPr>
          <w:rFonts w:ascii="Arial" w:hAnsi="Arial" w:cs="Arial"/>
          <w:color w:val="231f20"/>
        </w:rPr>
        <w:t xml:space="preserve"> Após 30 (trinta) dias do encerramento da vigência desta Ata de Registro de Preços, as amostras poderão ser retiradas em até 30 (trinta) dias pelo Detentor no seguinte endereço: Paço Municipal.</w:t>
      </w:r>
      <w:r/>
    </w:p>
    <w:p w14:paraId="4BEB6D43"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21CB6FC5" w14:textId="77777777">
      <w:pPr>
        <w:pBdr/>
        <w:spacing/>
        <w:ind/>
        <w:jc w:val="both"/>
        <w:rPr/>
      </w:pPr>
      <w:r>
        <w:rPr>
          <w:rFonts w:ascii="Arial" w:hAnsi="Arial" w:cs="Arial"/>
          <w:b/>
          <w:color w:val="231f20"/>
        </w:rPr>
        <w:t xml:space="preserve">18.4.1.</w:t>
      </w:r>
      <w:r>
        <w:rPr>
          <w:rFonts w:ascii="Arial" w:hAnsi="Arial" w:cs="Arial"/>
          <w:color w:val="231f20"/>
        </w:rPr>
        <w:t xml:space="preserve"> A Administração poderá dar o destino que melhor lhe convier às amostras que não forem retiradas no prazo estabelecido no subitem anterior, sem direito a ressarcimento.</w:t>
      </w:r>
      <w:r/>
    </w:p>
    <w:p w14:paraId="148B9689"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4A1AC190" w14:textId="77777777">
      <w:pPr>
        <w:pBdr/>
        <w:spacing/>
        <w:ind/>
        <w:jc w:val="both"/>
        <w:rPr/>
      </w:pPr>
      <w:r>
        <w:rPr>
          <w:rFonts w:ascii="Arial" w:hAnsi="Arial" w:cs="Arial"/>
          <w:b/>
          <w:color w:val="231f20"/>
        </w:rPr>
        <w:t xml:space="preserve">18.5.</w:t>
      </w:r>
      <w:r>
        <w:rPr>
          <w:rFonts w:ascii="Arial" w:hAnsi="Arial" w:cs="Arial"/>
          <w:color w:val="231f20"/>
        </w:rPr>
        <w:t xml:space="preserve"> A presente ARP está vinculada, independentemente de transcrição, ao Edital e seus Anexos, bem como a proposta do Detentor, e integram o presente instrumento os seguintes anexos:</w:t>
      </w:r>
      <w:r/>
    </w:p>
    <w:p w14:paraId="7F808933" w14:textId="77777777">
      <w:pPr>
        <w:pBdr/>
        <w:spacing/>
        <w:ind/>
        <w:jc w:val="both"/>
        <w:rPr/>
      </w:pPr>
      <w:r>
        <w:rPr>
          <w:rFonts w:ascii="Arial" w:hAnsi="Arial" w:cs="Arial"/>
          <w:color w:val="ff0000"/>
          <w:sz w:val="24"/>
          <w:szCs w:val="24"/>
        </w:rPr>
        <w:tab/>
      </w:r>
      <w:r/>
    </w:p>
    <w:p w14:paraId="011C6C35" w14:textId="77777777">
      <w:pPr>
        <w:pBdr/>
        <w:spacing/>
        <w:ind/>
        <w:jc w:val="both"/>
        <w:rPr/>
      </w:pPr>
      <w:r>
        <w:rPr>
          <w:rFonts w:ascii="Arial" w:hAnsi="Arial" w:cs="Arial"/>
          <w:b/>
          <w:color w:val="231f20"/>
        </w:rPr>
        <w:t xml:space="preserve">18.5.1. ANEXO I</w:t>
      </w:r>
      <w:r>
        <w:rPr>
          <w:rFonts w:ascii="Arial" w:hAnsi="Arial" w:cs="Arial"/>
          <w:color w:val="231f20"/>
        </w:rPr>
        <w:t xml:space="preserve"> – Termo de Referência</w:t>
      </w:r>
      <w:r/>
    </w:p>
    <w:p w14:paraId="3A6FD857"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6FCB4617" w14:textId="77777777">
      <w:pPr>
        <w:pBdr/>
        <w:spacing/>
        <w:ind/>
        <w:jc w:val="both"/>
        <w:rPr/>
      </w:pPr>
      <w:r>
        <w:rPr>
          <w:rFonts w:ascii="Arial" w:hAnsi="Arial" w:cs="Arial"/>
          <w:b/>
          <w:color w:val="231f20"/>
        </w:rPr>
        <w:t xml:space="preserve">18.5.2. ANEXO II </w:t>
      </w:r>
      <w:r>
        <w:rPr>
          <w:rFonts w:ascii="Arial" w:hAnsi="Arial" w:cs="Arial"/>
          <w:color w:val="231f20"/>
        </w:rPr>
        <w:t xml:space="preserve">- Informações sobre os produtos registrados;</w:t>
      </w:r>
      <w:r/>
    </w:p>
    <w:p w14:paraId="644CC668"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70646CE7" w14:textId="77777777">
      <w:pPr>
        <w:pBdr/>
        <w:spacing/>
        <w:ind/>
        <w:jc w:val="both"/>
        <w:rPr/>
      </w:pPr>
      <w:r>
        <w:rPr>
          <w:rFonts w:ascii="Arial" w:hAnsi="Arial" w:cs="Arial"/>
          <w:b/>
          <w:color w:val="231f20"/>
        </w:rPr>
        <w:t xml:space="preserve">18.5.3. ANEXO III</w:t>
      </w:r>
      <w:r>
        <w:rPr>
          <w:rFonts w:ascii="Arial" w:hAnsi="Arial" w:cs="Arial"/>
          <w:color w:val="231f20"/>
        </w:rPr>
        <w:t xml:space="preserve"> - Relação dos endereços dos participantes deste Registro;</w:t>
      </w:r>
      <w:r/>
    </w:p>
    <w:p w14:paraId="57B2D40D"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027DD390" w14:textId="77777777">
      <w:pPr>
        <w:pBdr/>
        <w:spacing/>
        <w:ind/>
        <w:jc w:val="both"/>
        <w:rPr/>
      </w:pPr>
      <w:r>
        <w:rPr>
          <w:rFonts w:ascii="Arial" w:hAnsi="Arial" w:cs="Arial"/>
          <w:b/>
          <w:color w:val="231f20"/>
        </w:rPr>
        <w:t xml:space="preserve">18.5.4. ANEXO IV</w:t>
      </w:r>
      <w:r>
        <w:rPr>
          <w:rFonts w:ascii="Arial" w:hAnsi="Arial" w:cs="Arial"/>
          <w:color w:val="231f20"/>
        </w:rPr>
        <w:t xml:space="preserve"> - Cadastro de Reserva;</w:t>
      </w:r>
      <w:r/>
    </w:p>
    <w:p w14:paraId="3029F0D0"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54082990" w14:textId="77777777">
      <w:pPr>
        <w:pBdr/>
        <w:spacing/>
        <w:ind/>
        <w:jc w:val="both"/>
        <w:rPr/>
      </w:pPr>
      <w:r>
        <w:rPr>
          <w:rFonts w:ascii="Arial" w:hAnsi="Arial" w:cs="Arial"/>
          <w:b/>
          <w:color w:val="231f20"/>
        </w:rPr>
        <w:t xml:space="preserve">18.5.5. ANEXO V</w:t>
      </w:r>
      <w:r>
        <w:rPr>
          <w:rFonts w:ascii="Arial" w:hAnsi="Arial" w:cs="Arial"/>
          <w:color w:val="231f20"/>
        </w:rPr>
        <w:t xml:space="preserve"> – Minuta de Contrato</w:t>
      </w:r>
      <w:r/>
    </w:p>
    <w:p w14:paraId="582F6D86"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2E89A352" w14:textId="77777777">
      <w:pPr>
        <w:pBdr/>
        <w:spacing/>
        <w:ind/>
        <w:jc w:val="both"/>
        <w:rPr/>
      </w:pPr>
      <w:r>
        <w:rPr>
          <w:rFonts w:ascii="Arial" w:hAnsi="Arial" w:cs="Arial"/>
          <w:color w:val="231f20"/>
        </w:rPr>
        <w:t xml:space="preserve">18.6. As questões decorrentes da utilização da presente Ata que não possam ser dirimidas administrativamente serão processadas e julgadas no foro da cidade de Rondonópolis/MT, eleito pelas partes com exclusão de qualquer outro.</w:t>
      </w:r>
      <w:r/>
    </w:p>
    <w:p w14:paraId="714B3B01" w14:textId="77777777">
      <w:pPr>
        <w:pBdr/>
        <w:spacing/>
        <w:ind/>
        <w:jc w:val="center"/>
        <w:rPr/>
      </w:pPr>
      <w:r>
        <w:rPr>
          <w:rFonts w:ascii="Arial" w:hAnsi="Arial" w:cs="Arial"/>
          <w:color w:val="231f20"/>
        </w:rPr>
        <w:t xml:space="preserve">Rondonópolis-MT, XX de XXXXX de 2026.</w:t>
      </w:r>
      <w:r/>
    </w:p>
    <w:p w14:paraId="6E239ABC" w14:textId="77777777">
      <w:pPr>
        <w:pBdr/>
        <w:spacing/>
        <w:ind/>
        <w:jc w:val="both"/>
        <w:rPr>
          <w:rFonts w:ascii="Arial" w:hAnsi="Arial" w:cs="Arial"/>
          <w:color w:val="231f20"/>
        </w:rPr>
      </w:pPr>
      <w:r>
        <w:rPr>
          <w:rFonts w:ascii="Arial" w:hAnsi="Arial" w:cs="Arial"/>
          <w:color w:val="231f20"/>
        </w:rPr>
      </w:r>
      <w:r>
        <w:rPr>
          <w:rFonts w:ascii="Arial" w:hAnsi="Arial" w:cs="Arial"/>
          <w:color w:val="231f20"/>
        </w:rPr>
      </w:r>
    </w:p>
    <w:p w14:paraId="66F4046C" w14:textId="77777777">
      <w:pPr>
        <w:pBdr/>
        <w:spacing/>
        <w:ind/>
        <w:jc w:val="both"/>
        <w:rPr/>
      </w:pPr>
      <w:r>
        <w:rPr>
          <w:rFonts w:ascii="Arial" w:hAnsi="Arial" w:cs="Arial"/>
          <w:color w:val="231f20"/>
        </w:rPr>
        <w:t xml:space="preserve">...........................................................</w:t>
      </w:r>
      <w:r/>
    </w:p>
    <w:p w14:paraId="3A5A9341" w14:textId="77777777">
      <w:pPr>
        <w:pBdr/>
        <w:spacing/>
        <w:ind/>
        <w:jc w:val="both"/>
        <w:rPr/>
      </w:pPr>
      <w:r>
        <w:rPr>
          <w:rFonts w:ascii="Arial" w:hAnsi="Arial" w:cs="Arial"/>
          <w:color w:val="231f20"/>
        </w:rPr>
        <w:t xml:space="preserve">Secretário Municipal de .............................</w:t>
      </w:r>
      <w:r/>
    </w:p>
    <w:p w14:paraId="3FCFED4B" w14:textId="77777777">
      <w:pPr>
        <w:pBdr/>
        <w:spacing/>
        <w:ind/>
        <w:jc w:val="right"/>
        <w:rPr/>
      </w:pPr>
      <w:r>
        <w:rPr>
          <w:rFonts w:ascii="Arial" w:hAnsi="Arial" w:cs="Arial"/>
          <w:color w:val="231f20"/>
        </w:rPr>
        <w:t xml:space="preserve">.....................................................................</w:t>
      </w:r>
      <w:r/>
    </w:p>
    <w:p w14:paraId="26CF376E" w14:textId="77777777">
      <w:pPr>
        <w:pBdr/>
        <w:spacing/>
        <w:ind/>
        <w:jc w:val="center"/>
        <w:rPr/>
      </w:pPr>
      <w:r>
        <w:rPr>
          <w:rFonts w:ascii="Arial" w:hAnsi="Arial" w:cs="Arial"/>
          <w:color w:val="231f20"/>
        </w:rPr>
        <w:t xml:space="preserve">Fornecedor da Ata de Registro de Preços</w:t>
      </w:r>
      <w:r/>
    </w:p>
    <w:p w14:paraId="768E40FD" w14:textId="77777777">
      <w:pPr>
        <w:pBdr/>
        <w:spacing/>
        <w:ind/>
        <w:rPr>
          <w:rFonts w:ascii="Arial" w:hAnsi="Arial" w:eastAsia="Arial" w:cs="Arial"/>
          <w:b/>
        </w:rPr>
      </w:pPr>
      <w:r>
        <w:rPr>
          <w:rFonts w:ascii="Arial" w:hAnsi="Arial" w:eastAsia="Arial" w:cs="Arial"/>
          <w:b/>
        </w:rPr>
      </w:r>
      <w:r>
        <w:rPr>
          <w:rFonts w:ascii="Arial" w:hAnsi="Arial" w:eastAsia="Arial" w:cs="Arial"/>
          <w:b/>
        </w:rPr>
      </w:r>
    </w:p>
    <w:p w14:paraId="4A60156F" w14:textId="77777777">
      <w:pPr>
        <w:pBdr/>
        <w:spacing/>
        <w:ind/>
        <w:rPr>
          <w:rFonts w:ascii="Arial" w:hAnsi="Arial" w:eastAsia="Arial" w:cs="Arial"/>
          <w:b/>
        </w:rPr>
      </w:pPr>
      <w:r>
        <w:rPr>
          <w:rFonts w:ascii="Arial" w:hAnsi="Arial" w:eastAsia="Arial" w:cs="Arial"/>
          <w:b/>
        </w:rPr>
      </w:r>
      <w:r>
        <w:rPr>
          <w:rFonts w:ascii="Arial" w:hAnsi="Arial" w:eastAsia="Arial" w:cs="Arial"/>
          <w:b/>
        </w:rPr>
      </w:r>
    </w:p>
    <w:p w14:paraId="63230FF9" w14:textId="77777777">
      <w:pPr>
        <w:pBdr/>
        <w:spacing/>
        <w:ind/>
        <w:rPr>
          <w:rFonts w:ascii="Arial" w:hAnsi="Arial" w:eastAsia="Arial" w:cs="Arial"/>
          <w:b/>
        </w:rPr>
      </w:pPr>
      <w:r>
        <w:rPr>
          <w:rFonts w:ascii="Arial" w:hAnsi="Arial" w:eastAsia="Arial" w:cs="Arial"/>
          <w:b/>
        </w:rPr>
      </w:r>
      <w:r>
        <w:rPr>
          <w:rFonts w:ascii="Arial" w:hAnsi="Arial" w:eastAsia="Arial" w:cs="Arial"/>
          <w:b/>
        </w:rPr>
      </w:r>
    </w:p>
    <w:p w14:paraId="5328BCB1" w14:textId="77777777">
      <w:pPr>
        <w:pBdr/>
        <w:spacing/>
        <w:ind/>
        <w:rPr>
          <w:rFonts w:ascii="Arial" w:hAnsi="Arial" w:eastAsia="Arial" w:cs="Arial"/>
          <w:b/>
        </w:rPr>
      </w:pPr>
      <w:r>
        <w:rPr>
          <w:rFonts w:ascii="Arial" w:hAnsi="Arial" w:eastAsia="Arial" w:cs="Arial"/>
          <w:b/>
        </w:rPr>
      </w:r>
      <w:r>
        <w:rPr>
          <w:rFonts w:ascii="Arial" w:hAnsi="Arial" w:eastAsia="Arial" w:cs="Arial"/>
          <w:b/>
        </w:rPr>
      </w:r>
    </w:p>
    <w:p w14:paraId="5CDBA818" w14:textId="77777777">
      <w:pPr>
        <w:pBdr/>
        <w:spacing/>
        <w:ind/>
        <w:rPr>
          <w:rFonts w:ascii="Arial" w:hAnsi="Arial" w:eastAsia="Arial" w:cs="Arial"/>
          <w:b/>
        </w:rPr>
      </w:pPr>
      <w:r>
        <w:rPr>
          <w:rFonts w:ascii="Arial" w:hAnsi="Arial" w:eastAsia="Arial" w:cs="Arial"/>
          <w:b/>
        </w:rPr>
      </w:r>
      <w:r>
        <w:rPr>
          <w:rFonts w:ascii="Arial" w:hAnsi="Arial" w:eastAsia="Arial" w:cs="Arial"/>
          <w:b/>
        </w:rPr>
      </w:r>
    </w:p>
    <w:p w14:paraId="71CC79BB" w14:textId="77777777">
      <w:pPr>
        <w:pBdr/>
        <w:spacing/>
        <w:ind/>
        <w:rPr>
          <w:rFonts w:ascii="Arial" w:hAnsi="Arial" w:eastAsia="Arial" w:cs="Arial"/>
          <w:b/>
        </w:rPr>
      </w:pPr>
      <w:r>
        <w:rPr>
          <w:rFonts w:ascii="Arial" w:hAnsi="Arial" w:eastAsia="Arial" w:cs="Arial"/>
          <w:b/>
        </w:rPr>
      </w:r>
      <w:r>
        <w:rPr>
          <w:rFonts w:ascii="Arial" w:hAnsi="Arial" w:eastAsia="Arial" w:cs="Arial"/>
          <w:b/>
        </w:rPr>
      </w:r>
    </w:p>
    <w:p w14:paraId="4C66F30B" w14:textId="77777777">
      <w:pPr>
        <w:pBdr/>
        <w:spacing/>
        <w:ind/>
        <w:rPr>
          <w:rFonts w:ascii="Arial" w:hAnsi="Arial" w:eastAsia="Arial" w:cs="Arial"/>
          <w:b/>
        </w:rPr>
      </w:pPr>
      <w:r>
        <w:rPr>
          <w:rFonts w:ascii="Arial" w:hAnsi="Arial" w:eastAsia="Arial" w:cs="Arial"/>
          <w:b/>
        </w:rPr>
      </w:r>
      <w:r>
        <w:rPr>
          <w:rFonts w:ascii="Arial" w:hAnsi="Arial" w:eastAsia="Arial" w:cs="Arial"/>
          <w:b/>
        </w:rPr>
      </w:r>
    </w:p>
    <w:p w14:paraId="2486CD6E" w14:textId="77777777">
      <w:pPr>
        <w:pBdr/>
        <w:spacing/>
        <w:ind/>
        <w:rPr>
          <w:rFonts w:ascii="Arial" w:hAnsi="Arial" w:eastAsia="Arial" w:cs="Arial"/>
          <w:b/>
        </w:rPr>
      </w:pPr>
      <w:r>
        <w:rPr>
          <w:rFonts w:ascii="Arial" w:hAnsi="Arial" w:eastAsia="Arial" w:cs="Arial"/>
          <w:b/>
        </w:rPr>
      </w:r>
      <w:r>
        <w:rPr>
          <w:rFonts w:ascii="Arial" w:hAnsi="Arial" w:eastAsia="Arial" w:cs="Arial"/>
          <w:b/>
        </w:rPr>
      </w:r>
    </w:p>
    <w:p w14:paraId="6283C608" w14:textId="77777777">
      <w:pPr>
        <w:pBdr/>
        <w:spacing/>
        <w:ind/>
        <w:rPr>
          <w:rFonts w:ascii="Arial" w:hAnsi="Arial" w:eastAsia="Arial" w:cs="Arial"/>
          <w:b/>
        </w:rPr>
      </w:pPr>
      <w:r>
        <w:rPr>
          <w:rFonts w:ascii="Arial" w:hAnsi="Arial" w:eastAsia="Arial" w:cs="Arial"/>
          <w:b/>
        </w:rPr>
      </w:r>
      <w:r>
        <w:rPr>
          <w:rFonts w:ascii="Arial" w:hAnsi="Arial" w:eastAsia="Arial" w:cs="Arial"/>
          <w:b/>
        </w:rPr>
      </w:r>
    </w:p>
    <w:p w14:paraId="74510F46" w14:textId="77777777">
      <w:pPr>
        <w:pBdr/>
        <w:spacing/>
        <w:ind/>
        <w:jc w:val="center"/>
        <w:rPr>
          <w:rFonts w:ascii="Arial" w:hAnsi="Arial" w:eastAsia="Arial" w:cs="Arial"/>
        </w:rPr>
      </w:pPr>
      <w:r>
        <w:rPr>
          <w:rFonts w:ascii="Arial" w:hAnsi="Arial" w:eastAsia="Arial" w:cs="Arial"/>
          <w:b/>
        </w:rPr>
        <w:t xml:space="preserve">ANEXO III: MINUTA DO CONTRATO.</w:t>
      </w:r>
      <w:r>
        <w:rPr>
          <w:rFonts w:ascii="Arial" w:hAnsi="Arial" w:eastAsia="Arial" w:cs="Arial"/>
        </w:rPr>
      </w:r>
    </w:p>
    <w:p w14:paraId="64C3DF9F"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4966C5E1"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06C230E4" w14:textId="77777777">
      <w:pPr>
        <w:pBdr/>
        <w:spacing/>
        <w:ind/>
        <w:jc w:val="both"/>
        <w:rPr>
          <w:rFonts w:ascii="Arial" w:hAnsi="Arial" w:eastAsia="Arial" w:cs="Arial"/>
        </w:rPr>
      </w:pPr>
      <w:r>
        <w:rPr>
          <w:rFonts w:ascii="Arial" w:hAnsi="Arial" w:eastAsia="Arial" w:cs="Arial"/>
        </w:rPr>
        <w:t xml:space="preserve">CONTRATO Nº </w:t>
      </w:r>
      <w:r>
        <w:rPr>
          <w:rFonts w:ascii="Arial" w:hAnsi="Arial" w:eastAsia="Arial" w:cs="Arial"/>
          <w:b/>
        </w:rPr>
        <w:t xml:space="preserve">XXX/XXXX</w:t>
      </w:r>
      <w:r>
        <w:rPr>
          <w:rFonts w:ascii="Arial" w:hAnsi="Arial" w:eastAsia="Arial" w:cs="Arial"/>
        </w:rPr>
      </w:r>
    </w:p>
    <w:p w14:paraId="62DA60BC" w14:textId="77777777">
      <w:pPr>
        <w:pBdr/>
        <w:spacing/>
        <w:ind/>
        <w:jc w:val="both"/>
        <w:rPr>
          <w:rFonts w:ascii="Arial" w:hAnsi="Arial" w:eastAsia="Arial" w:cs="Arial"/>
        </w:rPr>
      </w:pPr>
      <w:r>
        <w:rPr>
          <w:rFonts w:ascii="Arial" w:hAnsi="Arial" w:eastAsia="Arial" w:cs="Arial"/>
        </w:rPr>
        <w:t xml:space="preserve">CONTRATO QUE ENTRE SI CELEBRAM O </w:t>
      </w:r>
      <w:r>
        <w:rPr>
          <w:rFonts w:ascii="Arial" w:hAnsi="Arial" w:eastAsia="Arial" w:cs="Arial"/>
          <w:b/>
        </w:rPr>
        <w:t xml:space="preserve">MUNICIPIO DE RONDONÓPOLIS</w:t>
      </w:r>
      <w:r>
        <w:rPr>
          <w:rFonts w:ascii="Arial" w:hAnsi="Arial" w:eastAsia="Arial" w:cs="Arial"/>
        </w:rPr>
        <w:t xml:space="preserve">, E (O)A EMPRESA: </w:t>
      </w:r>
      <w:r>
        <w:rPr>
          <w:rFonts w:ascii="Arial" w:hAnsi="Arial" w:eastAsia="Arial" w:cs="Arial"/>
          <w:b/>
        </w:rPr>
        <w:t xml:space="preserve">XXXXX</w:t>
      </w:r>
      <w:r>
        <w:rPr>
          <w:rFonts w:ascii="Arial" w:hAnsi="Arial" w:eastAsia="Arial" w:cs="Arial"/>
        </w:rPr>
        <w:t xml:space="preserve"> ABAIXO QUALIFICADOS, PARA O FIM QUE NELE SE DECLARA.</w:t>
      </w:r>
      <w:r>
        <w:rPr>
          <w:rFonts w:ascii="Arial" w:hAnsi="Arial" w:eastAsia="Arial" w:cs="Arial"/>
        </w:rPr>
      </w:r>
    </w:p>
    <w:p w14:paraId="6EBDF831"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08E75F39"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2F3CC515" w14:textId="77777777">
      <w:pPr>
        <w:pBdr/>
        <w:spacing/>
        <w:ind/>
        <w:jc w:val="both"/>
        <w:rPr>
          <w:rFonts w:ascii="Arial" w:hAnsi="Arial" w:eastAsia="Arial" w:cs="Arial"/>
        </w:rPr>
      </w:pPr>
      <w:r>
        <w:rPr>
          <w:rFonts w:ascii="Arial" w:hAnsi="Arial" w:eastAsia="Arial" w:cs="Arial"/>
          <w:b/>
        </w:rPr>
        <w:t xml:space="preserve">O MUNICÍPIO DE RONDONÓPOLIS-MT.</w:t>
      </w:r>
      <w:r>
        <w:rPr>
          <w:rFonts w:ascii="Arial" w:hAnsi="Arial" w:eastAsia="Arial" w:cs="Arial"/>
        </w:rPr>
        <w:t xml:space="preserve">, pessoa jurídica de direito público, com sede na cidade de Rondonópolis, Estado de Mato Grosso, na Avenida Duque de Caxias n.º 1.000, Bairro: Vila Aurora, inscrita no CNPJ/MF. sob nº 03.347.101/0001-21, neste ato representado pelo Prefeito Municipal, Sr. </w:t>
      </w:r>
      <w:r>
        <w:rPr>
          <w:rFonts w:ascii="Arial" w:hAnsi="Arial" w:eastAsia="Arial" w:cs="Arial"/>
          <w:b/>
        </w:rPr>
        <w:t xml:space="preserve">xxxxxxxxxxxxxxxx</w:t>
      </w:r>
      <w:r>
        <w:rPr>
          <w:rFonts w:ascii="Arial" w:hAnsi="Arial" w:eastAsia="Arial" w:cs="Arial"/>
        </w:rPr>
        <w:t xml:space="preserve">, brasileiro, casado, xxxxxxxxxxxxx, portador do RG. n.º xxxxxx- SSP/xx, inscrito no CPF/MF. sob n.ºxxxxxxxxxxxxx, residente e domiciliado na cidade de Rondonópolis-MT., à Rua xxxxxxxxxxxx, Casa n.º xx, Quadra n.º xxx, Bairro xxxxxxx, dorav</w:t>
      </w:r>
      <w:r>
        <w:rPr>
          <w:rFonts w:ascii="Arial" w:hAnsi="Arial" w:eastAsia="Arial" w:cs="Arial"/>
        </w:rPr>
        <w:t xml:space="preserve">ante denominada simplesmente </w:t>
      </w:r>
      <w:r>
        <w:rPr>
          <w:rFonts w:ascii="Arial" w:hAnsi="Arial" w:eastAsia="Arial" w:cs="Arial"/>
          <w:b/>
        </w:rPr>
        <w:t xml:space="preserve">CONTRATANTE</w:t>
      </w:r>
      <w:r>
        <w:rPr>
          <w:rFonts w:ascii="Arial" w:hAnsi="Arial" w:eastAsia="Arial" w:cs="Arial"/>
        </w:rPr>
        <w:t xml:space="preserve">; e de outro lado, a empresa </w:t>
      </w:r>
      <w:r>
        <w:rPr>
          <w:rFonts w:ascii="Arial" w:hAnsi="Arial" w:eastAsia="Arial" w:cs="Arial"/>
          <w:b/>
        </w:rPr>
        <w:t xml:space="preserve">xxxxxxxxxxxx</w:t>
      </w:r>
      <w:r>
        <w:rPr>
          <w:rFonts w:ascii="Arial" w:hAnsi="Arial" w:eastAsia="Arial" w:cs="Arial"/>
        </w:rPr>
        <w:t xml:space="preserve">, inscrita no CNPJ/MF. sob nº xx.xxx.xxx/xxxx-xx, Inscrição Estadual nº xxx.xxx.xxx.xxx, com sede na cidade de xxxxxxxxxx, Estado de xxxxxxxxxx, à Rua xxxxxxxxxxxxx nº x.xxx, xxxxxxxx, neste ato representada pelo xxxxxxxx, Sr. </w:t>
      </w:r>
      <w:r>
        <w:rPr>
          <w:rFonts w:ascii="Arial" w:hAnsi="Arial" w:eastAsia="Arial" w:cs="Arial"/>
          <w:b/>
        </w:rPr>
        <w:t xml:space="preserve">xxxxxxxxx</w:t>
      </w:r>
      <w:r>
        <w:rPr>
          <w:rFonts w:ascii="Arial" w:hAnsi="Arial" w:eastAsia="Arial" w:cs="Arial"/>
        </w:rPr>
        <w:t xml:space="preserve">, xxxxxxxxx, xxxxxxx, xxxxxxxxxx, portador do RG. nº x.xxx.xxx-x SSP/xx., inscrito no CPF/MF. sob nº xxx.xxx.xxx-xx, residente e domiciliado na cidade de xxxxxxxxx-xx., à Rua xxxxxxxxxxx nº xxx, </w:t>
      </w:r>
      <w:r>
        <w:rPr>
          <w:rFonts w:ascii="Arial" w:hAnsi="Arial" w:eastAsia="Arial" w:cs="Arial"/>
        </w:rPr>
        <w:t xml:space="preserve">xxxxxxxx, doravante denominada simplesmente </w:t>
      </w:r>
      <w:r>
        <w:rPr>
          <w:rFonts w:ascii="Arial" w:hAnsi="Arial" w:eastAsia="Arial" w:cs="Arial"/>
          <w:b/>
        </w:rPr>
        <w:t xml:space="preserve">CONTRATADA</w:t>
      </w:r>
      <w:r>
        <w:rPr>
          <w:rFonts w:ascii="Arial" w:hAnsi="Arial" w:eastAsia="Arial" w:cs="Arial"/>
        </w:rPr>
        <w:t xml:space="preserve">, tendo em vista o resultado final do PREGÃO ELETRÔNICO nº.XX/2026, com fundamento na Lei XXXXXXXX, e demais legislações correlatadas, resolvem celebrar o presente instrumento, mediante as cláusulas e condições a seguir:</w:t>
      </w:r>
      <w:r>
        <w:rPr>
          <w:rFonts w:ascii="Arial" w:hAnsi="Arial" w:eastAsia="Arial" w:cs="Arial"/>
        </w:rPr>
      </w:r>
    </w:p>
    <w:p w14:paraId="49617305"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3A867017" w14:textId="77777777">
      <w:pPr>
        <w:pBdr/>
        <w:spacing/>
        <w:ind/>
        <w:jc w:val="both"/>
        <w:rPr>
          <w:rFonts w:ascii="Arial" w:hAnsi="Arial" w:eastAsia="Arial" w:cs="Arial"/>
          <w:b/>
        </w:rPr>
      </w:pPr>
      <w:r>
        <w:rPr>
          <w:rFonts w:ascii="Arial" w:hAnsi="Arial" w:eastAsia="Arial" w:cs="Arial"/>
          <w:b/>
        </w:rPr>
        <w:t xml:space="preserve">CLÁUSULA PRIMEIRA – DOCUMENTOS INTEGRANTES DO CONTRATO</w:t>
      </w:r>
      <w:r>
        <w:rPr>
          <w:rFonts w:ascii="Arial" w:hAnsi="Arial" w:eastAsia="Arial" w:cs="Arial"/>
          <w:b/>
        </w:rPr>
      </w:r>
    </w:p>
    <w:p w14:paraId="52870410"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20B3AE42" w14:textId="77777777">
      <w:pPr>
        <w:numPr>
          <w:ilvl w:val="1"/>
          <w:numId w:val="5"/>
        </w:numPr>
        <w:pBdr/>
        <w:spacing/>
        <w:ind w:firstLine="0" w:left="0"/>
        <w:jc w:val="both"/>
        <w:rPr>
          <w:rFonts w:ascii="Arial" w:hAnsi="Arial" w:eastAsia="Arial" w:cs="Arial"/>
        </w:rPr>
      </w:pPr>
      <w:r>
        <w:rPr>
          <w:rFonts w:ascii="Arial" w:hAnsi="Arial" w:eastAsia="Arial" w:cs="Arial"/>
        </w:rPr>
        <w:t xml:space="preserve">Edital e anexos do PREGÃO ELETRÔNICO nº XX/2026;</w:t>
      </w:r>
      <w:r>
        <w:rPr>
          <w:rFonts w:ascii="Arial" w:hAnsi="Arial" w:eastAsia="Arial" w:cs="Arial"/>
        </w:rPr>
      </w:r>
    </w:p>
    <w:p w14:paraId="2830E8A7"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775A1DDD" w14:textId="77777777">
      <w:pPr>
        <w:numPr>
          <w:ilvl w:val="1"/>
          <w:numId w:val="5"/>
        </w:numPr>
        <w:pBdr/>
        <w:spacing/>
        <w:ind w:firstLine="0" w:left="0"/>
        <w:jc w:val="both"/>
        <w:rPr>
          <w:rFonts w:ascii="Arial" w:hAnsi="Arial" w:eastAsia="Arial" w:cs="Arial"/>
        </w:rPr>
      </w:pPr>
      <w:r>
        <w:rPr>
          <w:rFonts w:ascii="Arial" w:hAnsi="Arial" w:eastAsia="Arial" w:cs="Arial"/>
        </w:rPr>
        <w:t xml:space="preserve">Termo de Referência nº XX/2026;</w:t>
      </w:r>
      <w:r>
        <w:rPr>
          <w:rFonts w:ascii="Arial" w:hAnsi="Arial" w:eastAsia="Arial" w:cs="Arial"/>
        </w:rPr>
      </w:r>
    </w:p>
    <w:p w14:paraId="5738A743" w14:textId="77777777">
      <w:pPr>
        <w:pBdr/>
        <w:spacing/>
        <w:ind/>
        <w:rPr>
          <w:rFonts w:ascii="Arial" w:hAnsi="Arial" w:eastAsia="Arial" w:cs="Arial"/>
          <w:color w:val="000000"/>
        </w:rPr>
      </w:pPr>
      <w:r>
        <w:rPr>
          <w:rFonts w:ascii="Arial" w:hAnsi="Arial" w:eastAsia="Arial" w:cs="Arial"/>
          <w:color w:val="000000"/>
        </w:rPr>
      </w:r>
      <w:r>
        <w:rPr>
          <w:rFonts w:ascii="Arial" w:hAnsi="Arial" w:eastAsia="Arial" w:cs="Arial"/>
          <w:color w:val="000000"/>
        </w:rPr>
      </w:r>
    </w:p>
    <w:p w14:paraId="33759879" w14:textId="77777777">
      <w:pPr>
        <w:numPr>
          <w:ilvl w:val="1"/>
          <w:numId w:val="5"/>
        </w:numPr>
        <w:pBdr/>
        <w:spacing/>
        <w:ind w:firstLine="0" w:left="0"/>
        <w:jc w:val="both"/>
        <w:rPr>
          <w:rFonts w:ascii="Arial" w:hAnsi="Arial" w:eastAsia="Arial" w:cs="Arial"/>
        </w:rPr>
      </w:pPr>
      <w:r>
        <w:rPr>
          <w:rFonts w:ascii="Arial" w:hAnsi="Arial" w:eastAsia="Arial" w:cs="Arial"/>
        </w:rPr>
        <w:t xml:space="preserve">Proposta de Preço readequada da CONTRATADA;</w:t>
      </w:r>
      <w:r>
        <w:rPr>
          <w:rFonts w:ascii="Arial" w:hAnsi="Arial" w:eastAsia="Arial" w:cs="Arial"/>
        </w:rPr>
      </w:r>
    </w:p>
    <w:p w14:paraId="41671959" w14:textId="77777777">
      <w:pPr>
        <w:pBdr/>
        <w:spacing/>
        <w:ind/>
        <w:rPr>
          <w:rFonts w:ascii="Arial" w:hAnsi="Arial" w:eastAsia="Arial" w:cs="Arial"/>
          <w:color w:val="000000"/>
        </w:rPr>
      </w:pPr>
      <w:r>
        <w:rPr>
          <w:rFonts w:ascii="Arial" w:hAnsi="Arial" w:eastAsia="Arial" w:cs="Arial"/>
          <w:color w:val="000000"/>
        </w:rPr>
      </w:r>
      <w:r>
        <w:rPr>
          <w:rFonts w:ascii="Arial" w:hAnsi="Arial" w:eastAsia="Arial" w:cs="Arial"/>
          <w:color w:val="000000"/>
        </w:rPr>
      </w:r>
    </w:p>
    <w:p w14:paraId="2B44386F" w14:textId="77777777">
      <w:pPr>
        <w:numPr>
          <w:ilvl w:val="1"/>
          <w:numId w:val="5"/>
        </w:numPr>
        <w:pBdr/>
        <w:spacing/>
        <w:ind w:firstLine="0" w:left="0"/>
        <w:jc w:val="both"/>
        <w:rPr>
          <w:rFonts w:ascii="Arial" w:hAnsi="Arial" w:eastAsia="Arial" w:cs="Arial"/>
        </w:rPr>
      </w:pPr>
      <w:r>
        <w:rPr>
          <w:rFonts w:ascii="Arial" w:hAnsi="Arial" w:eastAsia="Arial" w:cs="Arial"/>
        </w:rPr>
        <w:t xml:space="preserve">Anexos dos documentos aqui listados;</w:t>
      </w:r>
      <w:r>
        <w:rPr>
          <w:rFonts w:ascii="Arial" w:hAnsi="Arial" w:eastAsia="Arial" w:cs="Arial"/>
        </w:rPr>
      </w:r>
    </w:p>
    <w:p w14:paraId="7335D0A4" w14:textId="77777777">
      <w:pPr>
        <w:pBdr/>
        <w:spacing/>
        <w:ind/>
        <w:rPr>
          <w:rFonts w:ascii="Arial" w:hAnsi="Arial" w:eastAsia="Arial" w:cs="Arial"/>
          <w:color w:val="000000"/>
        </w:rPr>
      </w:pPr>
      <w:r>
        <w:rPr>
          <w:rFonts w:ascii="Arial" w:hAnsi="Arial" w:eastAsia="Arial" w:cs="Arial"/>
          <w:color w:val="000000"/>
        </w:rPr>
      </w:r>
      <w:r>
        <w:rPr>
          <w:rFonts w:ascii="Arial" w:hAnsi="Arial" w:eastAsia="Arial" w:cs="Arial"/>
          <w:color w:val="000000"/>
        </w:rPr>
      </w:r>
    </w:p>
    <w:p w14:paraId="72920701" w14:textId="77777777">
      <w:pPr>
        <w:numPr>
          <w:ilvl w:val="1"/>
          <w:numId w:val="5"/>
        </w:numPr>
        <w:pBdr/>
        <w:spacing/>
        <w:ind w:firstLine="0" w:left="0"/>
        <w:jc w:val="both"/>
        <w:rPr>
          <w:rFonts w:ascii="Arial" w:hAnsi="Arial" w:eastAsia="Arial" w:cs="Arial"/>
        </w:rPr>
      </w:pPr>
      <w:r>
        <w:rPr>
          <w:rFonts w:ascii="Arial" w:hAnsi="Arial" w:eastAsia="Arial" w:cs="Arial"/>
        </w:rPr>
        <w:t xml:space="preserve">Ata (s) de Registro de Preços;</w:t>
      </w:r>
      <w:r>
        <w:rPr>
          <w:rFonts w:ascii="Arial" w:hAnsi="Arial" w:eastAsia="Arial" w:cs="Arial"/>
        </w:rPr>
      </w:r>
    </w:p>
    <w:p w14:paraId="6723B310" w14:textId="77777777">
      <w:pPr>
        <w:pBdr/>
        <w:spacing/>
        <w:ind/>
        <w:rPr>
          <w:rFonts w:ascii="Arial" w:hAnsi="Arial" w:eastAsia="Arial" w:cs="Arial"/>
          <w:color w:val="000000"/>
        </w:rPr>
      </w:pPr>
      <w:r>
        <w:rPr>
          <w:rFonts w:ascii="Arial" w:hAnsi="Arial" w:eastAsia="Arial" w:cs="Arial"/>
          <w:color w:val="000000"/>
        </w:rPr>
      </w:r>
      <w:r>
        <w:rPr>
          <w:rFonts w:ascii="Arial" w:hAnsi="Arial" w:eastAsia="Arial" w:cs="Arial"/>
          <w:color w:val="000000"/>
        </w:rPr>
      </w:r>
    </w:p>
    <w:p w14:paraId="5F9956D6" w14:textId="77777777">
      <w:pPr>
        <w:pBdr/>
        <w:spacing/>
        <w:ind/>
        <w:jc w:val="both"/>
        <w:rPr>
          <w:rFonts w:ascii="Arial" w:hAnsi="Arial" w:eastAsia="Arial" w:cs="Arial"/>
        </w:rPr>
      </w:pPr>
      <w:r>
        <w:rPr>
          <w:rFonts w:ascii="Arial" w:hAnsi="Arial" w:eastAsia="Arial" w:cs="Arial"/>
          <w:b/>
        </w:rPr>
        <w:t xml:space="preserve">1.6.</w:t>
      </w:r>
      <w:r>
        <w:rPr>
          <w:rFonts w:ascii="Arial" w:hAnsi="Arial" w:eastAsia="Arial" w:cs="Arial"/>
        </w:rPr>
        <w:t xml:space="preserve"> Os documentos referidos acima são considerados suficientes para, em complemento a este instrumento contratual, definir a sua intenção e, desta forma, reger sua execução dentro do mais alto padrão da técnica atual.</w:t>
      </w:r>
      <w:r>
        <w:rPr>
          <w:rFonts w:ascii="Arial" w:hAnsi="Arial" w:eastAsia="Arial" w:cs="Arial"/>
        </w:rPr>
      </w:r>
    </w:p>
    <w:p w14:paraId="18A52A68"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1358A962" w14:textId="77777777">
      <w:pPr>
        <w:pBdr/>
        <w:spacing/>
        <w:ind/>
        <w:rPr>
          <w:rFonts w:ascii="Arial" w:hAnsi="Arial" w:eastAsia="Arial" w:cs="Arial"/>
          <w:b/>
        </w:rPr>
      </w:pPr>
      <w:r>
        <w:rPr>
          <w:rFonts w:ascii="Arial" w:hAnsi="Arial" w:eastAsia="Arial" w:cs="Arial"/>
          <w:b/>
        </w:rPr>
        <w:t xml:space="preserve">CLÁUSULA SEGUNDA – DO OBJETO:</w:t>
      </w:r>
      <w:r>
        <w:rPr>
          <w:rFonts w:ascii="Arial" w:hAnsi="Arial" w:eastAsia="Arial" w:cs="Arial"/>
          <w:b/>
        </w:rPr>
      </w:r>
    </w:p>
    <w:p w14:paraId="4B66C0A9" w14:textId="77777777">
      <w:pPr>
        <w:pBdr/>
        <w:spacing/>
        <w:ind/>
        <w:rPr>
          <w:rFonts w:ascii="Arial" w:hAnsi="Arial" w:eastAsia="Arial" w:cs="Arial"/>
          <w:b/>
        </w:rPr>
      </w:pPr>
      <w:r>
        <w:rPr>
          <w:rFonts w:ascii="Arial" w:hAnsi="Arial" w:eastAsia="Arial" w:cs="Arial"/>
          <w:b/>
        </w:rPr>
      </w:r>
      <w:r>
        <w:rPr>
          <w:rFonts w:ascii="Arial" w:hAnsi="Arial" w:eastAsia="Arial" w:cs="Arial"/>
          <w:b/>
        </w:rPr>
      </w:r>
    </w:p>
    <w:p w14:paraId="3FF9E5BE" w14:textId="77777777">
      <w:pPr>
        <w:pBdr/>
        <w:spacing/>
        <w:ind/>
        <w:jc w:val="both"/>
        <w:rPr>
          <w:rFonts w:ascii="Arial" w:hAnsi="Arial" w:eastAsia="Arial" w:cs="Arial"/>
        </w:rPr>
      </w:pPr>
      <w:r>
        <w:rPr>
          <w:rFonts w:ascii="Arial" w:hAnsi="Arial" w:eastAsia="Arial" w:cs="Arial"/>
          <w:b/>
        </w:rPr>
        <w:t xml:space="preserve">2.1. </w:t>
      </w:r>
      <w:r>
        <w:rPr>
          <w:rFonts w:ascii="Arial" w:hAnsi="Arial" w:eastAsia="Arial" w:cs="Arial"/>
        </w:rPr>
        <w:t xml:space="preserve">O presente contrato tem por objeto o </w:t>
      </w:r>
      <w:r>
        <w:rPr>
          <w:rFonts w:ascii="Arial" w:hAnsi="Arial" w:eastAsia="Arial" w:cs="Arial"/>
          <w:b/>
          <w:bCs/>
          <w:i/>
        </w:rPr>
        <w:t xml:space="preserve">REGISTRO DE PREÇOS PARA FUTURA E EVENTUAL CONTRATAÇÃO DE SERVIÇOS FUNERÁRIOS DE TRANSLADO E TANATOPRAXIA, DESTINADOS AO ATENDIMENTO DAS NECESSIDA-DES DE FAMÍLIAS EM SITUAÇÃO DE VUL-NERABILIDADE SOCIOECONÔMICA, ASSISTIDA</w:t>
      </w:r>
      <w:r>
        <w:rPr>
          <w:rFonts w:ascii="Arial" w:hAnsi="Arial" w:eastAsia="Arial" w:cs="Arial"/>
          <w:b/>
          <w:bCs/>
          <w:i/>
        </w:rPr>
        <w:t xml:space="preserve">S PELA SECRETARIA MUNICIPAL DE PROMOÇÃO E ASSISTÊNCIA SOCIAL – SEMPRAS. A CONTRATAÇÃO BUSCA ASSEGURAR A PRESTAÇÃO TEMPESTIVA, CONTÍNUA E ADE-QUADA DOS SERVIÇOS, GARANTINDO DIGNIDADE NO ATENDIMENTO ÀS SITUAÇÕES DE ÓBITO, CONFORME ES-PECIFICAÇÕES E QUANTITAT</w:t>
      </w:r>
      <w:r>
        <w:rPr>
          <w:rFonts w:ascii="Arial" w:hAnsi="Arial" w:eastAsia="Arial" w:cs="Arial"/>
          <w:b/>
          <w:bCs/>
          <w:i/>
        </w:rPr>
        <w:t xml:space="preserve">IVOS ESTABELECIDOS NO EDITAL E SEUS ANEXOS</w:t>
      </w:r>
      <w:r>
        <w:rPr>
          <w:rFonts w:ascii="Arial" w:hAnsi="Arial" w:eastAsia="Arial" w:cs="Arial"/>
          <w:b/>
          <w:i/>
        </w:rPr>
        <w:t xml:space="preserve">, </w:t>
      </w:r>
      <w:r>
        <w:rPr>
          <w:rFonts w:ascii="Arial" w:hAnsi="Arial" w:eastAsia="Arial" w:cs="Arial"/>
        </w:rPr>
        <w:t xml:space="preserve">na forma e qualidade estabelecidas nos documentos constantes da CLÁÚSULA PRIMEIRA.</w:t>
      </w:r>
      <w:r>
        <w:rPr>
          <w:rFonts w:ascii="Arial" w:hAnsi="Arial" w:eastAsia="Arial" w:cs="Arial"/>
        </w:rPr>
      </w:r>
    </w:p>
    <w:p w14:paraId="70EF7566"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2D77BFEB" w14:textId="77777777">
      <w:pPr>
        <w:pStyle w:val="1067"/>
        <w:pBdr/>
        <w:spacing/>
        <w:ind/>
        <w:jc w:val="both"/>
        <w:rPr>
          <w:rFonts w:eastAsia="Verdana"/>
          <w:sz w:val="20"/>
          <w:szCs w:val="20"/>
        </w:rPr>
      </w:pPr>
      <w:r>
        <w:rPr>
          <w:rFonts w:eastAsia="Verdana"/>
          <w:b/>
          <w:sz w:val="20"/>
          <w:szCs w:val="20"/>
        </w:rPr>
        <w:t xml:space="preserve">2.2.</w:t>
      </w:r>
      <w:r>
        <w:rPr>
          <w:rFonts w:eastAsia="Verdana"/>
          <w:sz w:val="20"/>
          <w:szCs w:val="20"/>
        </w:rPr>
        <w:t xml:space="preserve"> O material a ser contratado, quantidades, especificações e o valor estimado estão descrito no quadro abaixo:</w:t>
      </w:r>
      <w:r>
        <w:rPr>
          <w:rFonts w:eastAsia="Verdana"/>
          <w:sz w:val="20"/>
          <w:szCs w:val="20"/>
        </w:rPr>
      </w:r>
    </w:p>
    <w:p w14:paraId="660A6991" w14:textId="77777777">
      <w:pPr>
        <w:pStyle w:val="1067"/>
        <w:pBdr/>
        <w:spacing/>
        <w:ind w:left="284"/>
        <w:jc w:val="both"/>
        <w:rPr>
          <w:rFonts w:eastAsia="Verdana"/>
          <w:sz w:val="20"/>
          <w:szCs w:val="20"/>
        </w:rPr>
      </w:pPr>
      <w:r>
        <w:rPr>
          <w:rFonts w:eastAsia="Verdana"/>
          <w:sz w:val="20"/>
          <w:szCs w:val="20"/>
        </w:rPr>
      </w:r>
      <w:r>
        <w:rPr>
          <w:rFonts w:eastAsia="Verdana"/>
          <w:sz w:val="20"/>
          <w:szCs w:val="20"/>
        </w:rPr>
      </w:r>
    </w:p>
    <w:p w14:paraId="3880DFA7" w14:textId="77777777">
      <w:pPr>
        <w:pStyle w:val="1067"/>
        <w:pBdr/>
        <w:spacing/>
        <w:ind/>
        <w:jc w:val="center"/>
        <w:rPr>
          <w:rFonts w:eastAsia="Verdana"/>
          <w:b/>
          <w:sz w:val="20"/>
          <w:szCs w:val="20"/>
          <w:highlight w:val="white"/>
        </w:rPr>
      </w:pPr>
      <w:r>
        <w:rPr>
          <w:rFonts w:eastAsia="Verdana"/>
          <w:b/>
          <w:sz w:val="20"/>
          <w:szCs w:val="20"/>
          <w:highlight w:val="white"/>
        </w:rPr>
        <w:t xml:space="preserve">LOTE ÚNICO</w:t>
      </w:r>
      <w:r>
        <w:rPr>
          <w:rFonts w:eastAsia="Verdana"/>
          <w:b/>
          <w:sz w:val="20"/>
          <w:szCs w:val="20"/>
          <w:highlight w:val="white"/>
        </w:rPr>
      </w:r>
    </w:p>
    <w:tbl>
      <w:tblPr>
        <w:tblW w:w="9923" w:type="dxa"/>
        <w:tblCellMar>
          <w:left w:w="15" w:type="dxa"/>
          <w:top w:w="15" w:type="dxa"/>
          <w:right w:w="15" w:type="dxa"/>
          <w:bottom w:w="15" w:type="dxa"/>
        </w:tblCellMar>
        <w:tblBorders/>
        <w:tblLayout w:type="fixed"/>
        <w:tblpPr w:horzAnchor="page" w:tblpX="1223" w:vertAnchor="text" w:tblpY="228" w:leftFromText="180" w:topFromText="0" w:rightFromText="180" w:bottomFromText="0"/>
        <w:tblCellSpacing w:w="0" w:type="dxa"/>
        <w:tblOverlap w:val="never"/>
        <w:tblLook w:val="04A0" w:firstRow="1" w:lastRow="0" w:firstColumn="1" w:lastColumn="0" w:noHBand="0" w:noVBand="1"/>
      </w:tblPr>
      <w:tblGrid>
        <w:gridCol w:w="701"/>
        <w:gridCol w:w="3011"/>
        <w:gridCol w:w="546"/>
        <w:gridCol w:w="553"/>
        <w:gridCol w:w="1127"/>
        <w:gridCol w:w="785"/>
        <w:gridCol w:w="867"/>
        <w:gridCol w:w="860"/>
        <w:gridCol w:w="1473"/>
      </w:tblGrid>
      <w:tr>
        <w:trPr>
          <w:tblCellSpacing w:w="0" w:type="dxa"/>
          <w:trHeight w:val="279"/>
        </w:trPr>
        <w:tc>
          <w:tcPr>
            <w:shd w:val="clear" w:color="auto" w:fill="bfbfbf" w:themeFill="background1" w:themeFillShade="BF"/>
            <w:tcBorders>
              <w:top w:val="single" w:color="auto" w:sz="4" w:space="0"/>
              <w:left w:val="single" w:color="000000" w:sz="6" w:space="0"/>
              <w:bottom w:val="single" w:color="auto" w:sz="4" w:space="0"/>
              <w:right w:val="single" w:color="auto" w:sz="4" w:space="0"/>
            </w:tcBorders>
            <w:tcW w:w="701" w:type="dxa"/>
            <w:textDirection w:val="lrTb"/>
            <w:noWrap w:val="false"/>
          </w:tcPr>
          <w:p w14:paraId="4310ECCC" w14:textId="77777777">
            <w:pPr>
              <w:pBdr/>
              <w:spacing/>
              <w:ind/>
              <w:jc w:val="center"/>
              <w:rPr>
                <w:b/>
                <w:bCs/>
                <w:sz w:val="13"/>
                <w:szCs w:val="13"/>
                <w:lang w:val="en-US" w:eastAsia="zh-CN"/>
              </w:rPr>
            </w:pPr>
            <w:r>
              <w:rPr>
                <w:b/>
                <w:bCs/>
                <w:sz w:val="13"/>
                <w:szCs w:val="13"/>
                <w:lang w:val="en-US" w:eastAsia="zh-CN"/>
              </w:rPr>
              <w:t xml:space="preserve">ITEM</w:t>
            </w:r>
            <w:r>
              <w:rPr>
                <w:b/>
                <w:bCs/>
                <w:sz w:val="13"/>
                <w:szCs w:val="13"/>
                <w:lang w:val="en-US" w:eastAsia="zh-CN"/>
              </w:rPr>
            </w:r>
          </w:p>
        </w:tc>
        <w:tc>
          <w:tcPr>
            <w:shd w:val="clear" w:color="auto" w:fill="bfbfbf" w:themeFill="background1" w:themeFillShade="BF"/>
            <w:tcBorders>
              <w:top w:val="single" w:color="auto" w:sz="4" w:space="0"/>
              <w:left w:val="single" w:color="auto" w:sz="4" w:space="0"/>
              <w:bottom w:val="single" w:color="auto" w:sz="4" w:space="0"/>
              <w:right w:val="single" w:color="auto" w:sz="4" w:space="0"/>
            </w:tcBorders>
            <w:tcW w:w="3011" w:type="dxa"/>
            <w:textDirection w:val="lrTb"/>
            <w:noWrap w:val="false"/>
          </w:tcPr>
          <w:p w14:paraId="7B5933DC" w14:textId="77777777">
            <w:pPr>
              <w:pBdr/>
              <w:spacing/>
              <w:ind/>
              <w:jc w:val="center"/>
              <w:rPr>
                <w:b/>
                <w:bCs/>
                <w:sz w:val="13"/>
                <w:szCs w:val="13"/>
                <w:lang w:val="en-US" w:eastAsia="zh-CN"/>
              </w:rPr>
            </w:pPr>
            <w:r>
              <w:rPr>
                <w:b/>
                <w:bCs/>
                <w:sz w:val="13"/>
                <w:szCs w:val="13"/>
                <w:lang w:val="en-US" w:eastAsia="zh-CN"/>
              </w:rPr>
              <w:t xml:space="preserve">DESCRIÇÃO</w:t>
            </w:r>
            <w:r>
              <w:rPr>
                <w:b/>
                <w:bCs/>
                <w:sz w:val="13"/>
                <w:szCs w:val="13"/>
                <w:lang w:val="en-US" w:eastAsia="zh-CN"/>
              </w:rPr>
            </w:r>
          </w:p>
        </w:tc>
        <w:tc>
          <w:tcPr>
            <w:shd w:val="clear" w:color="auto" w:fill="bfbfbf" w:themeFill="background1" w:themeFillShade="BF"/>
            <w:tcBorders>
              <w:top w:val="single" w:color="auto" w:sz="4" w:space="0"/>
              <w:left w:val="single" w:color="auto" w:sz="4" w:space="0"/>
              <w:bottom w:val="single" w:color="auto" w:sz="4" w:space="0"/>
              <w:right w:val="single" w:color="auto" w:sz="4" w:space="0"/>
            </w:tcBorders>
            <w:tcW w:w="546" w:type="dxa"/>
            <w:textDirection w:val="lrTb"/>
            <w:noWrap w:val="false"/>
          </w:tcPr>
          <w:p w14:paraId="28277263" w14:textId="77777777">
            <w:pPr>
              <w:pBdr/>
              <w:spacing/>
              <w:ind/>
              <w:jc w:val="center"/>
              <w:rPr>
                <w:b/>
                <w:bCs/>
                <w:sz w:val="13"/>
                <w:szCs w:val="13"/>
                <w:lang w:val="en-US" w:eastAsia="zh-CN"/>
              </w:rPr>
            </w:pPr>
            <w:r>
              <w:rPr>
                <w:b/>
                <w:bCs/>
                <w:sz w:val="13"/>
                <w:szCs w:val="13"/>
                <w:lang w:val="en-US" w:eastAsia="zh-CN"/>
              </w:rPr>
              <w:t xml:space="preserve">UN</w:t>
            </w:r>
            <w:r>
              <w:rPr>
                <w:b/>
                <w:bCs/>
                <w:sz w:val="13"/>
                <w:szCs w:val="13"/>
                <w:lang w:val="en-US" w:eastAsia="zh-CN"/>
              </w:rPr>
            </w:r>
          </w:p>
          <w:p w14:paraId="0C5C165C" w14:textId="77777777">
            <w:pPr>
              <w:pBdr/>
              <w:spacing/>
              <w:ind/>
              <w:jc w:val="center"/>
              <w:rPr>
                <w:b/>
                <w:bCs/>
                <w:sz w:val="13"/>
                <w:szCs w:val="13"/>
                <w:lang w:val="en-US" w:eastAsia="zh-CN"/>
              </w:rPr>
            </w:pPr>
            <w:r>
              <w:rPr>
                <w:b/>
                <w:bCs/>
                <w:sz w:val="13"/>
                <w:szCs w:val="13"/>
                <w:lang w:val="en-US" w:eastAsia="zh-CN"/>
              </w:rPr>
            </w:r>
            <w:r>
              <w:rPr>
                <w:b/>
                <w:bCs/>
                <w:sz w:val="13"/>
                <w:szCs w:val="13"/>
                <w:lang w:val="en-US" w:eastAsia="zh-CN"/>
              </w:rPr>
            </w:r>
          </w:p>
        </w:tc>
        <w:tc>
          <w:tcPr>
            <w:shd w:val="clear" w:color="auto" w:fill="bfbfbf" w:themeFill="background1" w:themeFillShade="BF"/>
            <w:tcBorders>
              <w:top w:val="single" w:color="auto" w:sz="4" w:space="0"/>
              <w:left w:val="single" w:color="auto" w:sz="4" w:space="0"/>
              <w:bottom w:val="single" w:color="auto" w:sz="4" w:space="0"/>
              <w:right w:val="single" w:color="auto" w:sz="4" w:space="0"/>
            </w:tcBorders>
            <w:tcW w:w="553" w:type="dxa"/>
            <w:textDirection w:val="lrTb"/>
            <w:noWrap w:val="false"/>
          </w:tcPr>
          <w:p w14:paraId="43D28B75" w14:textId="77777777">
            <w:pPr>
              <w:pBdr/>
              <w:spacing/>
              <w:ind/>
              <w:jc w:val="center"/>
              <w:rPr>
                <w:b/>
                <w:bCs/>
                <w:sz w:val="13"/>
                <w:szCs w:val="13"/>
                <w:lang w:eastAsia="zh-CN"/>
              </w:rPr>
            </w:pPr>
            <w:r>
              <w:rPr>
                <w:b/>
                <w:bCs/>
                <w:sz w:val="13"/>
                <w:szCs w:val="13"/>
                <w:lang w:eastAsia="zh-CN"/>
              </w:rPr>
              <w:t xml:space="preserve">QTDE</w:t>
            </w:r>
            <w:r>
              <w:rPr>
                <w:b/>
                <w:bCs/>
                <w:sz w:val="13"/>
                <w:szCs w:val="13"/>
                <w:lang w:eastAsia="zh-CN"/>
              </w:rPr>
            </w:r>
          </w:p>
        </w:tc>
        <w:tc>
          <w:tcPr>
            <w:shd w:val="clear" w:color="auto" w:fill="bfbfbf" w:themeFill="background1" w:themeFillShade="BF"/>
            <w:tcBorders>
              <w:top w:val="single" w:color="auto" w:sz="4" w:space="0"/>
              <w:left w:val="single" w:color="auto" w:sz="4" w:space="0"/>
              <w:bottom w:val="single" w:color="auto" w:sz="4" w:space="0"/>
              <w:right w:val="single" w:color="auto" w:sz="4" w:space="0"/>
            </w:tcBorders>
            <w:tcW w:w="1127" w:type="dxa"/>
            <w:vAlign w:val="center"/>
            <w:textDirection w:val="lrTb"/>
            <w:noWrap w:val="false"/>
          </w:tcPr>
          <w:p w14:paraId="7F3CDEA4" w14:textId="77777777">
            <w:pPr>
              <w:pBdr/>
              <w:spacing/>
              <w:ind/>
              <w:jc w:val="center"/>
              <w:rPr>
                <w:b/>
                <w:bCs/>
                <w:sz w:val="13"/>
                <w:szCs w:val="13"/>
                <w:lang w:val="en-US" w:eastAsia="zh-CN"/>
              </w:rPr>
            </w:pPr>
            <w:r>
              <w:rPr>
                <w:b/>
                <w:bCs/>
                <w:sz w:val="13"/>
                <w:szCs w:val="13"/>
                <w:lang w:val="en-US" w:eastAsia="zh-CN"/>
              </w:rPr>
              <w:t xml:space="preserve">COTAÇÃO 1 Publica</w:t>
            </w:r>
            <w:r>
              <w:rPr>
                <w:b/>
                <w:bCs/>
                <w:sz w:val="13"/>
                <w:szCs w:val="13"/>
                <w:lang w:val="en-US" w:eastAsia="zh-CN"/>
              </w:rPr>
            </w:r>
          </w:p>
        </w:tc>
        <w:tc>
          <w:tcPr>
            <w:shd w:val="clear" w:color="auto" w:fill="bfbfbf" w:themeFill="background1" w:themeFillShade="BF"/>
            <w:tcBorders>
              <w:top w:val="single" w:color="auto" w:sz="4" w:space="0"/>
              <w:left w:val="single" w:color="auto" w:sz="4" w:space="0"/>
              <w:bottom w:val="single" w:color="auto" w:sz="4" w:space="0"/>
              <w:right w:val="single" w:color="auto" w:sz="4" w:space="0"/>
            </w:tcBorders>
            <w:tcW w:w="785" w:type="dxa"/>
            <w:vAlign w:val="center"/>
            <w:textDirection w:val="lrTb"/>
            <w:noWrap w:val="false"/>
          </w:tcPr>
          <w:p w14:paraId="5D36434B" w14:textId="77777777">
            <w:pPr>
              <w:pBdr/>
              <w:spacing/>
              <w:ind/>
              <w:jc w:val="center"/>
              <w:rPr>
                <w:b/>
                <w:bCs/>
                <w:sz w:val="13"/>
                <w:szCs w:val="13"/>
                <w:lang w:val="en-US" w:eastAsia="zh-CN"/>
              </w:rPr>
            </w:pPr>
            <w:r>
              <w:rPr>
                <w:b/>
                <w:bCs/>
                <w:sz w:val="13"/>
                <w:szCs w:val="13"/>
                <w:lang w:val="en-US" w:eastAsia="zh-CN"/>
              </w:rPr>
              <w:t xml:space="preserve">COTAÇÃO 2 Publica</w:t>
            </w:r>
            <w:r>
              <w:rPr>
                <w:b/>
                <w:bCs/>
                <w:sz w:val="13"/>
                <w:szCs w:val="13"/>
                <w:lang w:val="en-US" w:eastAsia="zh-CN"/>
              </w:rPr>
            </w:r>
          </w:p>
        </w:tc>
        <w:tc>
          <w:tcPr>
            <w:shd w:val="clear" w:color="auto" w:fill="bfbfbf" w:themeFill="background1" w:themeFillShade="BF"/>
            <w:tcBorders>
              <w:top w:val="single" w:color="auto" w:sz="4" w:space="0"/>
              <w:left w:val="single" w:color="auto" w:sz="4" w:space="0"/>
              <w:bottom w:val="single" w:color="auto" w:sz="4" w:space="0"/>
              <w:right w:val="single" w:color="auto" w:sz="4" w:space="0"/>
            </w:tcBorders>
            <w:tcW w:w="867" w:type="dxa"/>
            <w:vAlign w:val="center"/>
            <w:textDirection w:val="lrTb"/>
            <w:noWrap w:val="false"/>
          </w:tcPr>
          <w:p w14:paraId="05C08F0F" w14:textId="77777777">
            <w:pPr>
              <w:pBdr/>
              <w:spacing/>
              <w:ind/>
              <w:jc w:val="center"/>
              <w:rPr>
                <w:b/>
                <w:bCs/>
                <w:sz w:val="13"/>
                <w:szCs w:val="13"/>
                <w:lang w:val="en-US" w:eastAsia="zh-CN"/>
              </w:rPr>
            </w:pPr>
            <w:r>
              <w:rPr>
                <w:b/>
                <w:bCs/>
                <w:sz w:val="13"/>
                <w:szCs w:val="13"/>
                <w:lang w:val="en-US" w:eastAsia="zh-CN"/>
              </w:rPr>
              <w:t xml:space="preserve">COTAÇÃO 3 </w:t>
            </w:r>
            <w:r>
              <w:rPr>
                <w:b/>
                <w:bCs/>
                <w:sz w:val="13"/>
                <w:szCs w:val="13"/>
                <w:lang w:eastAsia="zh-CN"/>
              </w:rPr>
              <w:t xml:space="preserve"> Privado</w:t>
            </w:r>
            <w:r>
              <w:rPr>
                <w:b/>
                <w:bCs/>
                <w:sz w:val="13"/>
                <w:szCs w:val="13"/>
                <w:lang w:val="en-US" w:eastAsia="zh-CN"/>
              </w:rPr>
            </w:r>
          </w:p>
        </w:tc>
        <w:tc>
          <w:tcPr>
            <w:shd w:val="clear" w:color="auto" w:fill="bfbfbf" w:themeFill="background1" w:themeFillShade="BF"/>
            <w:tcBorders>
              <w:top w:val="single" w:color="auto" w:sz="4" w:space="0"/>
              <w:left w:val="single" w:color="auto" w:sz="4" w:space="0"/>
              <w:bottom w:val="single" w:color="auto" w:sz="4" w:space="0"/>
              <w:right w:val="single" w:color="auto" w:sz="4" w:space="0"/>
            </w:tcBorders>
            <w:tcW w:w="860" w:type="dxa"/>
            <w:textDirection w:val="lrTb"/>
            <w:noWrap w:val="false"/>
          </w:tcPr>
          <w:p w14:paraId="473CDAC3" w14:textId="77777777">
            <w:pPr>
              <w:pBdr/>
              <w:spacing/>
              <w:ind/>
              <w:jc w:val="center"/>
              <w:rPr>
                <w:b/>
                <w:bCs/>
                <w:sz w:val="13"/>
                <w:szCs w:val="13"/>
                <w:lang w:val="en-US" w:eastAsia="zh-CN"/>
              </w:rPr>
            </w:pPr>
            <w:r>
              <w:rPr>
                <w:b/>
                <w:bCs/>
                <w:sz w:val="13"/>
                <w:szCs w:val="13"/>
                <w:lang w:val="en-US" w:eastAsia="zh-CN"/>
              </w:rPr>
              <w:t xml:space="preserve">MÉDIA</w:t>
            </w:r>
            <w:r>
              <w:rPr>
                <w:b/>
                <w:bCs/>
                <w:sz w:val="13"/>
                <w:szCs w:val="13"/>
                <w:lang w:val="en-US" w:eastAsia="zh-CN"/>
              </w:rPr>
            </w:r>
          </w:p>
        </w:tc>
        <w:tc>
          <w:tcPr>
            <w:shd w:val="clear" w:color="auto" w:fill="bfbfbf" w:themeFill="background1" w:themeFillShade="BF"/>
            <w:tcBorders>
              <w:top w:val="single" w:color="auto" w:sz="4" w:space="0"/>
              <w:left w:val="single" w:color="auto" w:sz="4" w:space="0"/>
              <w:bottom w:val="single" w:color="auto" w:sz="4" w:space="0"/>
              <w:right w:val="single" w:color="auto" w:sz="4" w:space="0"/>
            </w:tcBorders>
            <w:tcW w:w="1473" w:type="dxa"/>
            <w:textDirection w:val="lrTb"/>
            <w:noWrap w:val="false"/>
          </w:tcPr>
          <w:p w14:paraId="04A13A0B" w14:textId="77777777">
            <w:pPr>
              <w:pBdr/>
              <w:spacing/>
              <w:ind/>
              <w:jc w:val="center"/>
              <w:rPr>
                <w:b/>
                <w:bCs/>
                <w:sz w:val="13"/>
                <w:szCs w:val="13"/>
                <w:lang w:val="en-US" w:eastAsia="zh-CN"/>
              </w:rPr>
            </w:pPr>
            <w:r>
              <w:rPr>
                <w:b/>
                <w:bCs/>
                <w:sz w:val="13"/>
                <w:szCs w:val="13"/>
                <w:lang w:val="en-US" w:eastAsia="zh-CN"/>
              </w:rPr>
              <w:t xml:space="preserve">VALOR TOTAL</w:t>
            </w:r>
            <w:r>
              <w:rPr>
                <w:b/>
                <w:bCs/>
                <w:sz w:val="13"/>
                <w:szCs w:val="13"/>
                <w:lang w:val="en-US" w:eastAsia="zh-CN"/>
              </w:rPr>
            </w:r>
          </w:p>
        </w:tc>
      </w:tr>
      <w:tr>
        <w:trPr>
          <w:tblCellSpacing w:w="0" w:type="dxa"/>
          <w:trHeight w:val="410"/>
        </w:trPr>
        <w:tc>
          <w:tcPr>
            <w:shd w:val="clear" w:color="auto" w:fill="ffffff"/>
            <w:tcBorders>
              <w:top w:val="single" w:color="auto" w:sz="4" w:space="0"/>
              <w:left w:val="single" w:color="auto" w:sz="4" w:space="0"/>
              <w:bottom w:val="single" w:color="auto" w:sz="4" w:space="0"/>
              <w:right w:val="single" w:color="auto" w:sz="4" w:space="0"/>
            </w:tcBorders>
            <w:tcW w:w="701" w:type="dxa"/>
            <w:vAlign w:val="center"/>
            <w:textDirection w:val="lrTb"/>
            <w:noWrap w:val="false"/>
          </w:tcPr>
          <w:p w14:paraId="00EB3305" w14:textId="77777777">
            <w:pPr>
              <w:pBdr/>
              <w:shd w:val="clear" w:color="auto" w:fill="ffffff"/>
              <w:spacing/>
              <w:ind/>
              <w:jc w:val="center"/>
              <w:rPr>
                <w:rFonts w:eastAsia="Liberation Sans"/>
                <w:color w:val="000000" w:themeColor="text1"/>
                <w:sz w:val="15"/>
                <w:szCs w:val="15"/>
              </w:rPr>
            </w:pPr>
            <w:r>
              <w:rPr>
                <w:rFonts w:eastAsia="Liberation Sans"/>
                <w:color w:val="000000"/>
                <w:sz w:val="15"/>
                <w:szCs w:val="15"/>
                <w:lang w:val="en-US" w:eastAsia="zh-CN" w:bidi="ar"/>
              </w:rPr>
              <w:t xml:space="preserve">1</w:t>
            </w:r>
            <w:r>
              <w:rPr>
                <w:rFonts w:eastAsia="Liberation Sans"/>
                <w:color w:val="000000" w:themeColor="text1"/>
                <w:sz w:val="15"/>
                <w:szCs w:val="15"/>
              </w:rPr>
            </w:r>
          </w:p>
        </w:tc>
        <w:tc>
          <w:tcPr>
            <w:shd w:val="clear" w:color="auto" w:fill="ffffff"/>
            <w:tcBorders>
              <w:top w:val="single" w:color="auto" w:sz="4" w:space="0"/>
              <w:left w:val="single" w:color="auto" w:sz="4" w:space="0"/>
              <w:bottom w:val="single" w:color="auto" w:sz="4" w:space="0"/>
              <w:right w:val="single" w:color="auto" w:sz="4" w:space="0"/>
            </w:tcBorders>
            <w:tcW w:w="3011" w:type="dxa"/>
            <w:vAlign w:val="center"/>
            <w:textDirection w:val="lrTb"/>
            <w:noWrap w:val="false"/>
          </w:tcPr>
          <w:p w14:paraId="5A110634" w14:textId="77777777">
            <w:pPr>
              <w:pBdr/>
              <w:spacing/>
              <w:ind/>
              <w:rPr>
                <w:rFonts w:eastAsia="Liberation Sans"/>
                <w:color w:val="000000" w:themeColor="text1"/>
                <w:sz w:val="15"/>
                <w:szCs w:val="15"/>
              </w:rPr>
            </w:pPr>
            <w:r>
              <w:rPr>
                <w:rFonts w:eastAsia="Liberation Sans"/>
                <w:color w:val="000000"/>
                <w:sz w:val="15"/>
                <w:szCs w:val="15"/>
                <w:lang w:eastAsia="zh-CN" w:bidi="ar"/>
              </w:rPr>
              <w:t xml:space="preserve">SERVIÇO DE TANATOPRAXIA - ADULTO. CONFORME TERMO DE REFERÊNCIA.</w:t>
            </w:r>
            <w:r>
              <w:rPr>
                <w:rFonts w:eastAsia="Liberation Sans"/>
                <w:color w:val="000000" w:themeColor="text1"/>
                <w:sz w:val="15"/>
                <w:szCs w:val="15"/>
              </w:rPr>
            </w:r>
          </w:p>
        </w:tc>
        <w:tc>
          <w:tcPr>
            <w:shd w:val="clear" w:color="auto" w:fill="ffffff"/>
            <w:tcBorders>
              <w:top w:val="single" w:color="auto" w:sz="4" w:space="0"/>
              <w:left w:val="single" w:color="auto" w:sz="4" w:space="0"/>
              <w:bottom w:val="single" w:color="auto" w:sz="4" w:space="0"/>
              <w:right w:val="single" w:color="auto" w:sz="4" w:space="0"/>
            </w:tcBorders>
            <w:tcW w:w="546" w:type="dxa"/>
            <w:vAlign w:val="center"/>
            <w:textDirection w:val="lrTb"/>
            <w:noWrap w:val="false"/>
          </w:tcPr>
          <w:p w14:paraId="5A27EC5B"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UN </w:t>
            </w:r>
            <w:r>
              <w:rPr>
                <w:rFonts w:eastAsia="Liberation Sans"/>
                <w:color w:val="000000" w:themeColor="text1"/>
                <w:sz w:val="13"/>
                <w:szCs w:val="13"/>
              </w:rPr>
            </w:r>
          </w:p>
        </w:tc>
        <w:tc>
          <w:tcPr>
            <w:shd w:val="clear" w:color="auto" w:fill="ffffff"/>
            <w:tcBorders>
              <w:top w:val="single" w:color="auto" w:sz="4" w:space="0"/>
              <w:left w:val="single" w:color="auto" w:sz="4" w:space="0"/>
              <w:bottom w:val="single" w:color="auto" w:sz="4" w:space="0"/>
              <w:right w:val="single" w:color="auto" w:sz="4" w:space="0"/>
            </w:tcBorders>
            <w:tcW w:w="553" w:type="dxa"/>
            <w:vAlign w:val="center"/>
            <w:textDirection w:val="lrTb"/>
            <w:noWrap w:val="false"/>
          </w:tcPr>
          <w:p w14:paraId="48A340D7" w14:textId="77777777">
            <w:pPr>
              <w:pBdr/>
              <w:spacing/>
              <w:ind/>
              <w:jc w:val="center"/>
              <w:rPr>
                <w:rFonts w:eastAsia="Liberation Sans"/>
                <w:color w:val="000000" w:themeColor="text1"/>
                <w:sz w:val="15"/>
                <w:szCs w:val="15"/>
              </w:rPr>
            </w:pPr>
            <w:r>
              <w:rPr>
                <w:rFonts w:eastAsia="Liberation Sans"/>
                <w:color w:val="000000"/>
                <w:sz w:val="15"/>
                <w:szCs w:val="15"/>
                <w:lang w:val="en-US" w:eastAsia="zh-CN" w:bidi="ar"/>
              </w:rPr>
              <w:t xml:space="preserve">60</w:t>
            </w:r>
            <w:r>
              <w:rPr>
                <w:rFonts w:eastAsia="Liberation Sans"/>
                <w:color w:val="000000" w:themeColor="text1"/>
                <w:sz w:val="15"/>
                <w:szCs w:val="15"/>
              </w:rPr>
            </w:r>
          </w:p>
        </w:tc>
        <w:tc>
          <w:tcPr>
            <w:shd w:val="clear" w:color="auto" w:fill="ffffff"/>
            <w:tcBorders>
              <w:top w:val="single" w:color="auto" w:sz="4" w:space="0"/>
              <w:left w:val="single" w:color="auto" w:sz="4" w:space="0"/>
              <w:bottom w:val="single" w:color="auto" w:sz="4" w:space="0"/>
              <w:right w:val="single" w:color="auto" w:sz="4" w:space="0"/>
            </w:tcBorders>
            <w:tcW w:w="1127" w:type="dxa"/>
            <w:vAlign w:val="center"/>
            <w:textDirection w:val="lrTb"/>
            <w:noWrap w:val="false"/>
          </w:tcPr>
          <w:p w14:paraId="39FB5385"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R$ 2.105,73</w:t>
            </w:r>
            <w:r>
              <w:rPr>
                <w:rFonts w:eastAsia="Liberation Sans"/>
                <w:color w:val="000000" w:themeColor="text1"/>
                <w:sz w:val="13"/>
                <w:szCs w:val="13"/>
              </w:rPr>
            </w:r>
          </w:p>
        </w:tc>
        <w:tc>
          <w:tcPr>
            <w:shd w:val="clear" w:color="auto" w:fill="ffffff"/>
            <w:tcBorders>
              <w:top w:val="single" w:color="auto" w:sz="4" w:space="0"/>
              <w:left w:val="single" w:color="auto" w:sz="4" w:space="0"/>
              <w:bottom w:val="single" w:color="auto" w:sz="4" w:space="0"/>
              <w:right w:val="single" w:color="auto" w:sz="4" w:space="0"/>
            </w:tcBorders>
            <w:tcW w:w="785" w:type="dxa"/>
            <w:vAlign w:val="center"/>
            <w:textDirection w:val="lrTb"/>
            <w:noWrap w:val="false"/>
          </w:tcPr>
          <w:p w14:paraId="79BFDFDE"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R$ 2.128,66</w:t>
            </w:r>
            <w:r>
              <w:rPr>
                <w:rFonts w:eastAsia="Liberation Sans"/>
                <w:color w:val="000000" w:themeColor="text1"/>
                <w:sz w:val="13"/>
                <w:szCs w:val="13"/>
              </w:rPr>
            </w:r>
          </w:p>
        </w:tc>
        <w:tc>
          <w:tcPr>
            <w:shd w:val="clear" w:color="auto" w:fill="ffffff"/>
            <w:tcBorders>
              <w:top w:val="single" w:color="auto" w:sz="4" w:space="0"/>
              <w:left w:val="single" w:color="auto" w:sz="4" w:space="0"/>
              <w:bottom w:val="single" w:color="auto" w:sz="4" w:space="0"/>
              <w:right w:val="single" w:color="auto" w:sz="4" w:space="0"/>
            </w:tcBorders>
            <w:tcW w:w="867" w:type="dxa"/>
            <w:vAlign w:val="center"/>
            <w:textDirection w:val="lrTb"/>
            <w:noWrap w:val="false"/>
          </w:tcPr>
          <w:p w14:paraId="50FC3D96"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R$ 2.800,00</w:t>
            </w:r>
            <w:r>
              <w:rPr>
                <w:rFonts w:eastAsia="Liberation Sans"/>
                <w:color w:val="000000" w:themeColor="text1"/>
                <w:sz w:val="13"/>
                <w:szCs w:val="13"/>
              </w:rPr>
            </w:r>
          </w:p>
        </w:tc>
        <w:tc>
          <w:tcPr>
            <w:shd w:val="clear" w:color="auto" w:fill="ffffff"/>
            <w:tcBorders>
              <w:top w:val="single" w:color="auto" w:sz="4" w:space="0"/>
              <w:left w:val="single" w:color="auto" w:sz="4" w:space="0"/>
              <w:bottom w:val="single" w:color="auto" w:sz="4" w:space="0"/>
              <w:right w:val="single" w:color="auto" w:sz="4" w:space="0"/>
            </w:tcBorders>
            <w:tcW w:w="860" w:type="dxa"/>
            <w:vAlign w:val="center"/>
            <w:textDirection w:val="lrTb"/>
            <w:noWrap w:val="false"/>
          </w:tcPr>
          <w:p w14:paraId="77D379BB"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R$ 2.344,</w:t>
            </w:r>
            <w:r>
              <w:rPr>
                <w:rFonts w:eastAsia="Liberation Sans"/>
                <w:color w:val="000000"/>
                <w:sz w:val="13"/>
                <w:szCs w:val="13"/>
                <w:lang w:eastAsia="zh-CN" w:bidi="ar"/>
              </w:rPr>
              <w:t xml:space="preserve">7966</w:t>
            </w:r>
            <w:r>
              <w:rPr>
                <w:rFonts w:eastAsia="Liberation Sans"/>
                <w:color w:val="000000" w:themeColor="text1"/>
                <w:sz w:val="13"/>
                <w:szCs w:val="13"/>
              </w:rPr>
            </w:r>
          </w:p>
        </w:tc>
        <w:tc>
          <w:tcPr>
            <w:shd w:val="clear" w:color="auto" w:fill="ffffff"/>
            <w:tcBorders>
              <w:top w:val="single" w:color="auto" w:sz="4" w:space="0"/>
              <w:left w:val="single" w:color="auto" w:sz="4" w:space="0"/>
              <w:bottom w:val="single" w:color="auto" w:sz="4" w:space="0"/>
              <w:right w:val="single" w:color="auto" w:sz="4" w:space="0"/>
            </w:tcBorders>
            <w:tcW w:w="1473" w:type="dxa"/>
            <w:vAlign w:val="center"/>
            <w:textDirection w:val="lrTb"/>
            <w:noWrap w:val="false"/>
          </w:tcPr>
          <w:p w14:paraId="06F1FDC3"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R$ 140.687,80</w:t>
            </w:r>
            <w:r>
              <w:rPr>
                <w:rFonts w:eastAsia="Liberation Sans"/>
                <w:color w:val="000000" w:themeColor="text1"/>
                <w:sz w:val="13"/>
                <w:szCs w:val="13"/>
              </w:rPr>
            </w:r>
          </w:p>
        </w:tc>
      </w:tr>
      <w:tr>
        <w:trPr>
          <w:tblCellSpacing w:w="0" w:type="dxa"/>
          <w:trHeight w:val="448"/>
        </w:trPr>
        <w:tc>
          <w:tcPr>
            <w:shd w:val="clear" w:color="auto" w:fill="ffffff"/>
            <w:tcBorders>
              <w:top w:val="single" w:color="auto" w:sz="4" w:space="0"/>
              <w:left w:val="single" w:color="auto" w:sz="4" w:space="0"/>
              <w:bottom w:val="single" w:color="auto" w:sz="4" w:space="0"/>
              <w:right w:val="single" w:color="auto" w:sz="4" w:space="0"/>
            </w:tcBorders>
            <w:tcW w:w="701" w:type="dxa"/>
            <w:vAlign w:val="center"/>
            <w:textDirection w:val="lrTb"/>
            <w:noWrap w:val="false"/>
          </w:tcPr>
          <w:p w14:paraId="11FECC46" w14:textId="77777777">
            <w:pPr>
              <w:pBdr/>
              <w:shd w:val="clear" w:color="auto" w:fill="ffffff"/>
              <w:spacing/>
              <w:ind/>
              <w:jc w:val="center"/>
              <w:rPr>
                <w:rFonts w:eastAsia="Liberation Sans"/>
                <w:color w:val="000000" w:themeColor="text1"/>
                <w:sz w:val="15"/>
                <w:szCs w:val="15"/>
              </w:rPr>
            </w:pPr>
            <w:r>
              <w:rPr>
                <w:rFonts w:eastAsia="Liberation Sans"/>
                <w:color w:val="000000"/>
                <w:sz w:val="15"/>
                <w:szCs w:val="15"/>
                <w:lang w:val="en-US" w:eastAsia="zh-CN" w:bidi="ar"/>
              </w:rPr>
              <w:t xml:space="preserve">2</w:t>
            </w:r>
            <w:r>
              <w:rPr>
                <w:rFonts w:eastAsia="Liberation Sans"/>
                <w:color w:val="000000" w:themeColor="text1"/>
                <w:sz w:val="15"/>
                <w:szCs w:val="15"/>
              </w:rPr>
            </w:r>
          </w:p>
        </w:tc>
        <w:tc>
          <w:tcPr>
            <w:shd w:val="clear" w:color="auto" w:fill="ffffff"/>
            <w:tcBorders>
              <w:top w:val="single" w:color="auto" w:sz="4" w:space="0"/>
              <w:left w:val="single" w:color="auto" w:sz="4" w:space="0"/>
              <w:bottom w:val="single" w:color="auto" w:sz="4" w:space="0"/>
              <w:right w:val="single" w:color="auto" w:sz="4" w:space="0"/>
            </w:tcBorders>
            <w:tcW w:w="3011" w:type="dxa"/>
            <w:vAlign w:val="center"/>
            <w:textDirection w:val="lrTb"/>
            <w:noWrap w:val="false"/>
          </w:tcPr>
          <w:p w14:paraId="76EF4629" w14:textId="77777777">
            <w:pPr>
              <w:pBdr/>
              <w:spacing/>
              <w:ind/>
              <w:rPr>
                <w:rFonts w:eastAsia="Liberation Sans"/>
                <w:color w:val="000000" w:themeColor="text1"/>
                <w:sz w:val="15"/>
                <w:szCs w:val="15"/>
              </w:rPr>
            </w:pPr>
            <w:r>
              <w:rPr>
                <w:rFonts w:eastAsia="Liberation Sans"/>
                <w:color w:val="000000"/>
                <w:sz w:val="15"/>
                <w:szCs w:val="15"/>
                <w:lang w:eastAsia="zh-CN" w:bidi="ar"/>
              </w:rPr>
              <w:t xml:space="preserve">SERVIÇO DE TANATOPRAXIA - INFANTIL. CONFORME TERMO DE REFERÊNCIA.</w:t>
            </w:r>
            <w:r>
              <w:rPr>
                <w:rFonts w:eastAsia="Liberation Sans"/>
                <w:color w:val="000000" w:themeColor="text1"/>
                <w:sz w:val="15"/>
                <w:szCs w:val="15"/>
              </w:rPr>
            </w:r>
          </w:p>
        </w:tc>
        <w:tc>
          <w:tcPr>
            <w:shd w:val="clear" w:color="auto" w:fill="ffffff"/>
            <w:tcBorders>
              <w:top w:val="single" w:color="auto" w:sz="4" w:space="0"/>
              <w:left w:val="single" w:color="auto" w:sz="4" w:space="0"/>
              <w:bottom w:val="single" w:color="auto" w:sz="4" w:space="0"/>
              <w:right w:val="single" w:color="auto" w:sz="4" w:space="0"/>
            </w:tcBorders>
            <w:tcW w:w="546" w:type="dxa"/>
            <w:vAlign w:val="center"/>
            <w:textDirection w:val="lrTb"/>
            <w:noWrap w:val="false"/>
          </w:tcPr>
          <w:p w14:paraId="54637D97"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UN </w:t>
            </w:r>
            <w:r>
              <w:rPr>
                <w:rFonts w:eastAsia="Liberation Sans"/>
                <w:color w:val="000000" w:themeColor="text1"/>
                <w:sz w:val="13"/>
                <w:szCs w:val="13"/>
              </w:rPr>
            </w:r>
          </w:p>
        </w:tc>
        <w:tc>
          <w:tcPr>
            <w:shd w:val="clear" w:color="auto" w:fill="ffffff"/>
            <w:tcBorders>
              <w:top w:val="single" w:color="auto" w:sz="4" w:space="0"/>
              <w:left w:val="single" w:color="auto" w:sz="4" w:space="0"/>
              <w:bottom w:val="single" w:color="auto" w:sz="4" w:space="0"/>
              <w:right w:val="single" w:color="auto" w:sz="4" w:space="0"/>
            </w:tcBorders>
            <w:tcW w:w="553" w:type="dxa"/>
            <w:vAlign w:val="center"/>
            <w:textDirection w:val="lrTb"/>
            <w:noWrap w:val="false"/>
          </w:tcPr>
          <w:p w14:paraId="07D5FCE0" w14:textId="77777777">
            <w:pPr>
              <w:pBdr/>
              <w:spacing/>
              <w:ind/>
              <w:jc w:val="center"/>
              <w:rPr>
                <w:rFonts w:eastAsia="Liberation Sans"/>
                <w:color w:val="000000" w:themeColor="text1"/>
                <w:sz w:val="15"/>
                <w:szCs w:val="15"/>
              </w:rPr>
            </w:pPr>
            <w:r>
              <w:rPr>
                <w:rFonts w:eastAsia="Liberation Sans"/>
                <w:color w:val="000000"/>
                <w:sz w:val="15"/>
                <w:szCs w:val="15"/>
                <w:lang w:val="en-US" w:eastAsia="zh-CN" w:bidi="ar"/>
              </w:rPr>
              <w:t xml:space="preserve">40</w:t>
            </w:r>
            <w:r>
              <w:rPr>
                <w:rFonts w:eastAsia="Liberation Sans"/>
                <w:color w:val="000000" w:themeColor="text1"/>
                <w:sz w:val="15"/>
                <w:szCs w:val="15"/>
              </w:rPr>
            </w:r>
          </w:p>
        </w:tc>
        <w:tc>
          <w:tcPr>
            <w:shd w:val="clear" w:color="auto" w:fill="ffffff"/>
            <w:tcBorders>
              <w:top w:val="single" w:color="auto" w:sz="4" w:space="0"/>
              <w:left w:val="single" w:color="auto" w:sz="4" w:space="0"/>
              <w:bottom w:val="single" w:color="auto" w:sz="4" w:space="0"/>
              <w:right w:val="single" w:color="auto" w:sz="4" w:space="0"/>
            </w:tcBorders>
            <w:tcW w:w="1127" w:type="dxa"/>
            <w:vAlign w:val="center"/>
            <w:textDirection w:val="lrTb"/>
            <w:noWrap w:val="false"/>
          </w:tcPr>
          <w:p w14:paraId="3752C9E2"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R$ 1.924,00</w:t>
            </w:r>
            <w:r>
              <w:rPr>
                <w:rFonts w:eastAsia="Liberation Sans"/>
                <w:color w:val="000000" w:themeColor="text1"/>
                <w:sz w:val="13"/>
                <w:szCs w:val="13"/>
              </w:rPr>
            </w:r>
          </w:p>
        </w:tc>
        <w:tc>
          <w:tcPr>
            <w:shd w:val="clear" w:color="auto" w:fill="ffffff"/>
            <w:tcBorders>
              <w:top w:val="single" w:color="auto" w:sz="4" w:space="0"/>
              <w:left w:val="single" w:color="auto" w:sz="4" w:space="0"/>
              <w:bottom w:val="single" w:color="auto" w:sz="4" w:space="0"/>
              <w:right w:val="single" w:color="auto" w:sz="4" w:space="0"/>
            </w:tcBorders>
            <w:tcW w:w="785" w:type="dxa"/>
            <w:vAlign w:val="center"/>
            <w:textDirection w:val="lrTb"/>
            <w:noWrap w:val="false"/>
          </w:tcPr>
          <w:p w14:paraId="7E17B8E4"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R$ 1.925,33</w:t>
            </w:r>
            <w:r>
              <w:rPr>
                <w:rFonts w:eastAsia="Liberation Sans"/>
                <w:color w:val="000000" w:themeColor="text1"/>
                <w:sz w:val="13"/>
                <w:szCs w:val="13"/>
              </w:rPr>
            </w:r>
          </w:p>
        </w:tc>
        <w:tc>
          <w:tcPr>
            <w:shd w:val="clear" w:color="auto" w:fill="ffffff"/>
            <w:tcBorders>
              <w:top w:val="single" w:color="auto" w:sz="4" w:space="0"/>
              <w:left w:val="single" w:color="auto" w:sz="4" w:space="0"/>
              <w:bottom w:val="single" w:color="auto" w:sz="4" w:space="0"/>
              <w:right w:val="single" w:color="auto" w:sz="4" w:space="0"/>
            </w:tcBorders>
            <w:tcW w:w="867" w:type="dxa"/>
            <w:vAlign w:val="center"/>
            <w:textDirection w:val="lrTb"/>
            <w:noWrap w:val="false"/>
          </w:tcPr>
          <w:p w14:paraId="6F1D0234"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R$ 2.000,00</w:t>
            </w:r>
            <w:r>
              <w:rPr>
                <w:rFonts w:eastAsia="Liberation Sans"/>
                <w:color w:val="000000" w:themeColor="text1"/>
                <w:sz w:val="13"/>
                <w:szCs w:val="13"/>
              </w:rPr>
            </w:r>
          </w:p>
        </w:tc>
        <w:tc>
          <w:tcPr>
            <w:shd w:val="clear" w:color="auto" w:fill="ffffff"/>
            <w:tcBorders>
              <w:top w:val="single" w:color="auto" w:sz="4" w:space="0"/>
              <w:left w:val="single" w:color="auto" w:sz="4" w:space="0"/>
              <w:bottom w:val="single" w:color="auto" w:sz="4" w:space="0"/>
              <w:right w:val="single" w:color="auto" w:sz="4" w:space="0"/>
            </w:tcBorders>
            <w:tcW w:w="860" w:type="dxa"/>
            <w:vAlign w:val="center"/>
            <w:textDirection w:val="lrTb"/>
            <w:noWrap w:val="false"/>
          </w:tcPr>
          <w:p w14:paraId="46EA7D00"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R$ 1.949,7766</w:t>
            </w:r>
            <w:r>
              <w:rPr>
                <w:rFonts w:eastAsia="Liberation Sans"/>
                <w:color w:val="000000" w:themeColor="text1"/>
                <w:sz w:val="13"/>
                <w:szCs w:val="13"/>
              </w:rPr>
            </w:r>
          </w:p>
        </w:tc>
        <w:tc>
          <w:tcPr>
            <w:shd w:val="clear" w:color="auto" w:fill="ffffff"/>
            <w:tcBorders>
              <w:top w:val="single" w:color="auto" w:sz="4" w:space="0"/>
              <w:left w:val="single" w:color="auto" w:sz="4" w:space="0"/>
              <w:bottom w:val="single" w:color="auto" w:sz="4" w:space="0"/>
              <w:right w:val="single" w:color="auto" w:sz="4" w:space="0"/>
            </w:tcBorders>
            <w:tcW w:w="1473" w:type="dxa"/>
            <w:vAlign w:val="center"/>
            <w:textDirection w:val="lrTb"/>
            <w:noWrap w:val="false"/>
          </w:tcPr>
          <w:p w14:paraId="2CCA496F"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R$ 77.991,06</w:t>
            </w:r>
            <w:r>
              <w:rPr>
                <w:rFonts w:eastAsia="Liberation Sans"/>
                <w:color w:val="000000" w:themeColor="text1"/>
                <w:sz w:val="13"/>
                <w:szCs w:val="13"/>
              </w:rPr>
            </w:r>
          </w:p>
        </w:tc>
      </w:tr>
      <w:tr>
        <w:trPr>
          <w:tblCellSpacing w:w="0" w:type="dxa"/>
          <w:trHeight w:val="425"/>
        </w:trPr>
        <w:tc>
          <w:tcPr>
            <w:shd w:val="clear" w:color="auto" w:fill="ffffff"/>
            <w:tcBorders>
              <w:top w:val="single" w:color="auto" w:sz="4" w:space="0"/>
              <w:left w:val="single" w:color="auto" w:sz="4" w:space="0"/>
              <w:bottom w:val="single" w:color="auto" w:sz="4" w:space="0"/>
              <w:right w:val="single" w:color="auto" w:sz="4" w:space="0"/>
            </w:tcBorders>
            <w:tcW w:w="701" w:type="dxa"/>
            <w:vAlign w:val="center"/>
            <w:textDirection w:val="lrTb"/>
            <w:noWrap w:val="false"/>
          </w:tcPr>
          <w:p w14:paraId="4D99290F" w14:textId="77777777">
            <w:pPr>
              <w:pBdr/>
              <w:shd w:val="clear" w:color="auto" w:fill="ffffff"/>
              <w:spacing/>
              <w:ind/>
              <w:jc w:val="center"/>
              <w:rPr>
                <w:rFonts w:eastAsia="Liberation Sans"/>
                <w:color w:val="000000" w:themeColor="text1"/>
                <w:sz w:val="15"/>
                <w:szCs w:val="15"/>
              </w:rPr>
            </w:pPr>
            <w:r>
              <w:rPr>
                <w:rFonts w:eastAsia="Liberation Sans"/>
                <w:color w:val="000000"/>
                <w:sz w:val="15"/>
                <w:szCs w:val="15"/>
                <w:lang w:val="en-US" w:eastAsia="zh-CN" w:bidi="ar"/>
              </w:rPr>
              <w:t xml:space="preserve">3</w:t>
            </w:r>
            <w:r>
              <w:rPr>
                <w:rFonts w:eastAsia="Liberation Sans"/>
                <w:color w:val="000000" w:themeColor="text1"/>
                <w:sz w:val="15"/>
                <w:szCs w:val="15"/>
              </w:rPr>
            </w:r>
          </w:p>
        </w:tc>
        <w:tc>
          <w:tcPr>
            <w:shd w:val="clear" w:color="auto" w:fill="ffffff"/>
            <w:tcBorders>
              <w:top w:val="single" w:color="auto" w:sz="4" w:space="0"/>
              <w:left w:val="single" w:color="auto" w:sz="4" w:space="0"/>
              <w:bottom w:val="single" w:color="auto" w:sz="4" w:space="0"/>
              <w:right w:val="single" w:color="auto" w:sz="4" w:space="0"/>
            </w:tcBorders>
            <w:tcW w:w="3011" w:type="dxa"/>
            <w:vAlign w:val="center"/>
            <w:textDirection w:val="lrTb"/>
            <w:noWrap w:val="false"/>
          </w:tcPr>
          <w:p w14:paraId="07C913A6" w14:textId="77777777">
            <w:pPr>
              <w:pBdr/>
              <w:spacing/>
              <w:ind/>
              <w:rPr>
                <w:rFonts w:eastAsia="Liberation Sans"/>
                <w:color w:val="000000" w:themeColor="text1"/>
                <w:sz w:val="15"/>
                <w:szCs w:val="15"/>
              </w:rPr>
            </w:pPr>
            <w:r>
              <w:rPr>
                <w:rFonts w:eastAsia="Liberation Sans"/>
                <w:color w:val="000000"/>
                <w:sz w:val="15"/>
                <w:szCs w:val="15"/>
                <w:lang w:eastAsia="zh-CN" w:bidi="ar"/>
              </w:rPr>
              <w:t xml:space="preserve">SERVIÇO DE TRANSLADO FUNERÁRIO TERRESTRE, POR MEIO DE VEÍCULO FUNERÁRIO APROPRIADO / ESPECIALIZADO. CONFORME TERMO DE REFERÊNCIA.</w:t>
            </w:r>
            <w:r>
              <w:rPr>
                <w:rFonts w:eastAsia="Liberation Sans"/>
                <w:color w:val="000000" w:themeColor="text1"/>
                <w:sz w:val="15"/>
                <w:szCs w:val="15"/>
              </w:rPr>
            </w:r>
          </w:p>
        </w:tc>
        <w:tc>
          <w:tcPr>
            <w:shd w:val="clear" w:color="auto" w:fill="ffffff"/>
            <w:tcBorders>
              <w:top w:val="single" w:color="auto" w:sz="4" w:space="0"/>
              <w:left w:val="single" w:color="auto" w:sz="4" w:space="0"/>
              <w:bottom w:val="single" w:color="auto" w:sz="4" w:space="0"/>
              <w:right w:val="single" w:color="auto" w:sz="4" w:space="0"/>
            </w:tcBorders>
            <w:tcW w:w="546" w:type="dxa"/>
            <w:vAlign w:val="center"/>
            <w:textDirection w:val="lrTb"/>
            <w:noWrap w:val="false"/>
          </w:tcPr>
          <w:p w14:paraId="480369B2"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QUILOMETRO</w:t>
            </w:r>
            <w:r>
              <w:rPr>
                <w:rFonts w:eastAsia="Liberation Sans"/>
                <w:color w:val="000000" w:themeColor="text1"/>
                <w:sz w:val="13"/>
                <w:szCs w:val="13"/>
              </w:rPr>
            </w:r>
          </w:p>
        </w:tc>
        <w:tc>
          <w:tcPr>
            <w:shd w:val="clear" w:color="auto" w:fill="ffffff"/>
            <w:tcBorders>
              <w:top w:val="single" w:color="auto" w:sz="4" w:space="0"/>
              <w:left w:val="single" w:color="auto" w:sz="4" w:space="0"/>
              <w:bottom w:val="single" w:color="auto" w:sz="4" w:space="0"/>
              <w:right w:val="single" w:color="auto" w:sz="4" w:space="0"/>
            </w:tcBorders>
            <w:tcW w:w="553" w:type="dxa"/>
            <w:vAlign w:val="center"/>
            <w:textDirection w:val="lrTb"/>
            <w:noWrap w:val="false"/>
          </w:tcPr>
          <w:p w14:paraId="45FAB9D0" w14:textId="77777777">
            <w:pPr>
              <w:pBdr/>
              <w:spacing/>
              <w:ind/>
              <w:jc w:val="center"/>
              <w:rPr>
                <w:rFonts w:eastAsia="Liberation Sans"/>
                <w:color w:val="000000" w:themeColor="text1"/>
                <w:sz w:val="15"/>
                <w:szCs w:val="15"/>
              </w:rPr>
            </w:pPr>
            <w:r>
              <w:rPr>
                <w:rFonts w:eastAsia="Liberation Sans"/>
                <w:color w:val="000000"/>
                <w:sz w:val="15"/>
                <w:szCs w:val="15"/>
                <w:lang w:val="en-US" w:eastAsia="zh-CN" w:bidi="ar"/>
              </w:rPr>
              <w:t xml:space="preserve">100000</w:t>
            </w:r>
            <w:r>
              <w:rPr>
                <w:rFonts w:eastAsia="Liberation Sans"/>
                <w:color w:val="000000" w:themeColor="text1"/>
                <w:sz w:val="15"/>
                <w:szCs w:val="15"/>
              </w:rPr>
            </w:r>
          </w:p>
        </w:tc>
        <w:tc>
          <w:tcPr>
            <w:shd w:val="clear" w:color="auto" w:fill="ffffff"/>
            <w:tcBorders>
              <w:top w:val="single" w:color="auto" w:sz="4" w:space="0"/>
              <w:left w:val="single" w:color="auto" w:sz="4" w:space="0"/>
              <w:bottom w:val="single" w:color="auto" w:sz="4" w:space="0"/>
              <w:right w:val="single" w:color="auto" w:sz="4" w:space="0"/>
            </w:tcBorders>
            <w:tcW w:w="1127" w:type="dxa"/>
            <w:vAlign w:val="center"/>
            <w:textDirection w:val="lrTb"/>
            <w:noWrap w:val="false"/>
          </w:tcPr>
          <w:p w14:paraId="3EB74CD6"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R$ 4,57</w:t>
            </w:r>
            <w:r>
              <w:rPr>
                <w:rFonts w:eastAsia="Liberation Sans"/>
                <w:color w:val="000000" w:themeColor="text1"/>
                <w:sz w:val="13"/>
                <w:szCs w:val="13"/>
              </w:rPr>
            </w:r>
          </w:p>
        </w:tc>
        <w:tc>
          <w:tcPr>
            <w:shd w:val="clear" w:color="auto" w:fill="ffffff"/>
            <w:tcBorders>
              <w:top w:val="single" w:color="auto" w:sz="4" w:space="0"/>
              <w:left w:val="single" w:color="auto" w:sz="4" w:space="0"/>
              <w:bottom w:val="single" w:color="auto" w:sz="4" w:space="0"/>
              <w:right w:val="single" w:color="auto" w:sz="4" w:space="0"/>
            </w:tcBorders>
            <w:tcW w:w="785" w:type="dxa"/>
            <w:vAlign w:val="center"/>
            <w:textDirection w:val="lrTb"/>
            <w:noWrap w:val="false"/>
          </w:tcPr>
          <w:p w14:paraId="190B7347"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R$ 4,6900</w:t>
            </w:r>
            <w:r>
              <w:rPr>
                <w:rFonts w:eastAsia="Liberation Sans"/>
                <w:color w:val="000000" w:themeColor="text1"/>
                <w:sz w:val="13"/>
                <w:szCs w:val="13"/>
              </w:rPr>
            </w:r>
          </w:p>
        </w:tc>
        <w:tc>
          <w:tcPr>
            <w:shd w:val="clear" w:color="auto" w:fill="ffffff"/>
            <w:tcBorders>
              <w:top w:val="single" w:color="auto" w:sz="4" w:space="0"/>
              <w:left w:val="single" w:color="auto" w:sz="4" w:space="0"/>
              <w:bottom w:val="single" w:color="auto" w:sz="4" w:space="0"/>
              <w:right w:val="single" w:color="auto" w:sz="4" w:space="0"/>
            </w:tcBorders>
            <w:tcW w:w="867" w:type="dxa"/>
            <w:vAlign w:val="center"/>
            <w:textDirection w:val="lrTb"/>
            <w:noWrap w:val="false"/>
          </w:tcPr>
          <w:p w14:paraId="675233D9"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R$ 10,00</w:t>
            </w:r>
            <w:r>
              <w:rPr>
                <w:rFonts w:eastAsia="Liberation Sans"/>
                <w:color w:val="000000" w:themeColor="text1"/>
                <w:sz w:val="13"/>
                <w:szCs w:val="13"/>
              </w:rPr>
            </w:r>
          </w:p>
        </w:tc>
        <w:tc>
          <w:tcPr>
            <w:shd w:val="clear" w:color="auto" w:fill="ffffff"/>
            <w:tcBorders>
              <w:top w:val="single" w:color="auto" w:sz="4" w:space="0"/>
              <w:left w:val="single" w:color="auto" w:sz="4" w:space="0"/>
              <w:bottom w:val="single" w:color="auto" w:sz="4" w:space="0"/>
              <w:right w:val="single" w:color="auto" w:sz="4" w:space="0"/>
            </w:tcBorders>
            <w:tcW w:w="860" w:type="dxa"/>
            <w:vAlign w:val="center"/>
            <w:textDirection w:val="lrTb"/>
            <w:noWrap w:val="false"/>
          </w:tcPr>
          <w:p w14:paraId="579BE97E"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R$ 6,42</w:t>
            </w:r>
            <w:r>
              <w:rPr>
                <w:rFonts w:eastAsia="Liberation Sans"/>
                <w:color w:val="000000" w:themeColor="text1"/>
                <w:sz w:val="13"/>
                <w:szCs w:val="13"/>
              </w:rPr>
            </w:r>
          </w:p>
        </w:tc>
        <w:tc>
          <w:tcPr>
            <w:shd w:val="clear" w:color="auto" w:fill="ffffff"/>
            <w:tcBorders>
              <w:top w:val="single" w:color="auto" w:sz="4" w:space="0"/>
              <w:left w:val="single" w:color="auto" w:sz="4" w:space="0"/>
              <w:bottom w:val="single" w:color="auto" w:sz="4" w:space="0"/>
              <w:right w:val="single" w:color="auto" w:sz="4" w:space="0"/>
            </w:tcBorders>
            <w:tcW w:w="1473" w:type="dxa"/>
            <w:vAlign w:val="center"/>
            <w:textDirection w:val="lrTb"/>
            <w:noWrap w:val="false"/>
          </w:tcPr>
          <w:p w14:paraId="13596290"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R$ 642.000,00</w:t>
            </w:r>
            <w:r>
              <w:rPr>
                <w:rFonts w:eastAsia="Liberation Sans"/>
                <w:color w:val="000000" w:themeColor="text1"/>
                <w:sz w:val="13"/>
                <w:szCs w:val="13"/>
              </w:rPr>
            </w:r>
          </w:p>
        </w:tc>
      </w:tr>
    </w:tbl>
    <w:tbl>
      <w:tblPr>
        <w:tblW w:w="9923" w:type="dxa"/>
        <w:tblCellMar>
          <w:left w:w="70" w:type="dxa"/>
          <w:right w:w="70"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Pr w:horzAnchor="page" w:tblpX="1223" w:vertAnchor="text" w:tblpY="228" w:leftFromText="180" w:topFromText="0" w:rightFromText="180" w:bottomFromText="0"/>
        <w:tblOverlap w:val="never"/>
        <w:tblLook w:val="0000" w:firstRow="0" w:lastRow="0" w:firstColumn="0" w:lastColumn="0" w:noHBand="0" w:noVBand="0"/>
      </w:tblPr>
      <w:tblGrid>
        <w:gridCol w:w="9923"/>
      </w:tblGrid>
      <w:tr>
        <w:trPr>
          <w:trHeight w:val="178"/>
        </w:trPr>
        <w:tc>
          <w:tcPr>
            <w:tcBorders/>
            <w:tcW w:w="9923" w:type="dxa"/>
            <w:textDirection w:val="lrTb"/>
            <w:noWrap w:val="false"/>
          </w:tcPr>
          <w:p w14:paraId="5C9F124D" w14:textId="77777777">
            <w:pPr>
              <w:pBdr/>
              <w:spacing/>
              <w:ind/>
              <w:jc w:val="both"/>
              <w:rPr>
                <w:rFonts w:ascii="Arial" w:hAnsi="Arial" w:cs="Arial"/>
                <w:b/>
                <w:bCs/>
                <w:sz w:val="16"/>
                <w:szCs w:val="16"/>
                <w:highlight w:val="white"/>
              </w:rPr>
            </w:pPr>
            <w:r>
              <w:rPr>
                <w:rFonts w:eastAsia="Liberation Sans"/>
                <w:b/>
                <w:bCs/>
                <w:color w:val="000000"/>
                <w:sz w:val="13"/>
                <w:szCs w:val="13"/>
                <w:lang w:eastAsia="zh-CN" w:bidi="ar"/>
              </w:rPr>
              <w:t xml:space="preserve">                         </w:t>
            </w:r>
            <w:r>
              <w:rPr>
                <w:rFonts w:eastAsia="Liberation Sans"/>
                <w:b/>
                <w:bCs/>
                <w:color w:val="000000"/>
                <w:sz w:val="13"/>
                <w:szCs w:val="13"/>
                <w:lang w:eastAsia="zh-CN" w:bidi="ar"/>
              </w:rPr>
              <w:t xml:space="preserve">                                                                                                                                                                                                                                                   R$ 860.678,86</w:t>
            </w:r>
            <w:r>
              <w:rPr>
                <w:rFonts w:ascii="Arial" w:hAnsi="Arial" w:cs="Arial"/>
                <w:b/>
                <w:bCs/>
                <w:sz w:val="16"/>
                <w:szCs w:val="16"/>
                <w:highlight w:val="white"/>
              </w:rPr>
            </w:r>
          </w:p>
        </w:tc>
      </w:tr>
    </w:tbl>
    <w:p w14:paraId="28A13978" w14:textId="77777777">
      <w:pPr>
        <w:pBdr/>
        <w:spacing/>
        <w:ind/>
        <w:rPr>
          <w:rFonts w:ascii="Arial" w:hAnsi="Arial" w:cs="Arial"/>
          <w:b/>
          <w:bCs/>
          <w:sz w:val="16"/>
          <w:szCs w:val="16"/>
          <w:highlight w:val="white"/>
        </w:rPr>
      </w:pPr>
      <w:r>
        <w:rPr>
          <w:rFonts w:ascii="Arial" w:hAnsi="Arial" w:cs="Arial"/>
          <w:b/>
          <w:bCs/>
          <w:sz w:val="16"/>
          <w:szCs w:val="16"/>
          <w:highlight w:val="white"/>
        </w:rPr>
      </w:r>
      <w:r>
        <w:rPr>
          <w:rFonts w:ascii="Arial" w:hAnsi="Arial" w:cs="Arial"/>
          <w:b/>
          <w:bCs/>
          <w:sz w:val="16"/>
          <w:szCs w:val="16"/>
          <w:highlight w:val="white"/>
        </w:rPr>
      </w:r>
    </w:p>
    <w:p w14:paraId="4C267DEB" w14:textId="77777777">
      <w:pPr>
        <w:pBdr/>
        <w:spacing/>
        <w:ind/>
        <w:jc w:val="both"/>
        <w:rPr/>
      </w:pPr>
      <w:r>
        <w:rPr>
          <w:rFonts w:ascii="Arial" w:hAnsi="Arial" w:cs="Arial"/>
          <w:b/>
        </w:rPr>
        <w:t xml:space="preserve">CLÁUSULA TERCEIRA – DO REGIME DE EXECUÇÃO E FORMA DE FORNECIMENTO</w:t>
      </w:r>
      <w:r/>
    </w:p>
    <w:p w14:paraId="7BB98B97" w14:textId="77777777">
      <w:pPr>
        <w:pBdr/>
        <w:spacing/>
        <w:ind/>
        <w:jc w:val="both"/>
        <w:rPr>
          <w:rFonts w:ascii="Arial" w:hAnsi="Arial" w:cs="Arial"/>
          <w:b/>
        </w:rPr>
      </w:pPr>
      <w:r>
        <w:rPr>
          <w:rFonts w:ascii="Arial" w:hAnsi="Arial" w:cs="Arial"/>
          <w:b/>
        </w:rPr>
      </w:r>
      <w:r>
        <w:rPr>
          <w:rFonts w:ascii="Arial" w:hAnsi="Arial" w:cs="Arial"/>
          <w:b/>
        </w:rPr>
      </w:r>
    </w:p>
    <w:p w14:paraId="182D1D4A" w14:textId="77777777">
      <w:pPr>
        <w:pBdr/>
        <w:spacing/>
        <w:ind/>
        <w:jc w:val="both"/>
        <w:rPr/>
      </w:pPr>
      <w:r>
        <w:rPr>
          <w:rFonts w:ascii="Arial" w:hAnsi="Arial" w:cs="Arial"/>
          <w:b/>
        </w:rPr>
        <w:t xml:space="preserve">3.1. </w:t>
      </w:r>
      <w:r>
        <w:rPr>
          <w:rFonts w:ascii="Arial" w:hAnsi="Arial" w:cs="Arial"/>
        </w:rPr>
        <w:t xml:space="preserve">O regime de execução é diferido e o fornecimento do objeto se dará mediante solicitação realizada pelo órgão municipal, por meio de ordem de fornecimento, devendo constar informações que identifique o solicitante</w:t>
      </w:r>
      <w:r>
        <w:rPr>
          <w:rFonts w:ascii="Arial" w:hAnsi="Arial" w:cs="Arial"/>
          <w:b/>
        </w:rPr>
        <w:t xml:space="preserve">;</w:t>
      </w:r>
      <w:r/>
    </w:p>
    <w:p w14:paraId="15C9560F" w14:textId="77777777">
      <w:pPr>
        <w:pBdr/>
        <w:spacing/>
        <w:ind/>
        <w:jc w:val="both"/>
        <w:rPr>
          <w:rFonts w:ascii="Arial" w:hAnsi="Arial" w:cs="Arial"/>
          <w:b/>
        </w:rPr>
      </w:pPr>
      <w:r>
        <w:rPr>
          <w:rFonts w:ascii="Arial" w:hAnsi="Arial" w:cs="Arial"/>
          <w:b/>
        </w:rPr>
      </w:r>
      <w:r>
        <w:rPr>
          <w:rFonts w:ascii="Arial" w:hAnsi="Arial" w:cs="Arial"/>
          <w:b/>
        </w:rPr>
      </w:r>
    </w:p>
    <w:p w14:paraId="67F73D70" w14:textId="77777777">
      <w:pPr>
        <w:pBdr/>
        <w:spacing/>
        <w:ind/>
        <w:jc w:val="both"/>
        <w:rPr/>
      </w:pPr>
      <w:r>
        <w:rPr>
          <w:rFonts w:ascii="Arial" w:hAnsi="Arial" w:cs="Arial"/>
          <w:b/>
        </w:rPr>
        <w:t xml:space="preserve">3.2. </w:t>
      </w:r>
      <w:r>
        <w:rPr>
          <w:rFonts w:ascii="Arial" w:hAnsi="Arial" w:cs="Arial"/>
        </w:rPr>
        <w:t xml:space="preserve">Na execução do objeto deverão ainda serem observadas as condições estabelecidas no termo de referência, edital e seus anexos;</w:t>
      </w:r>
      <w:r/>
    </w:p>
    <w:p w14:paraId="12FCD02D" w14:textId="77777777">
      <w:pPr>
        <w:pBdr/>
        <w:spacing/>
        <w:ind/>
        <w:jc w:val="both"/>
        <w:rPr>
          <w:rFonts w:ascii="Arial" w:hAnsi="Arial" w:cs="Arial"/>
          <w:b/>
        </w:rPr>
      </w:pPr>
      <w:r>
        <w:rPr>
          <w:rFonts w:ascii="Arial" w:hAnsi="Arial" w:cs="Arial"/>
          <w:b/>
        </w:rPr>
      </w:r>
      <w:r>
        <w:rPr>
          <w:rFonts w:ascii="Arial" w:hAnsi="Arial" w:cs="Arial"/>
          <w:b/>
        </w:rPr>
      </w:r>
    </w:p>
    <w:p w14:paraId="07CB03B3" w14:textId="77777777">
      <w:pPr>
        <w:pBdr/>
        <w:spacing/>
        <w:ind/>
        <w:jc w:val="both"/>
        <w:rPr/>
      </w:pPr>
      <w:r>
        <w:rPr>
          <w:rFonts w:ascii="Arial" w:hAnsi="Arial" w:cs="Arial"/>
          <w:b/>
        </w:rPr>
        <w:t xml:space="preserve">3.3. </w:t>
      </w:r>
      <w:r>
        <w:rPr>
          <w:rFonts w:ascii="Arial" w:hAnsi="Arial" w:cs="Arial"/>
        </w:rPr>
        <w:t xml:space="preserve">O fornecimento/execução do objeto licitado terá início após a assinatura deste, expedição de nota de empenho e a emissão da ordem de fornecimento.</w:t>
      </w:r>
      <w:r/>
    </w:p>
    <w:p w14:paraId="1259AA18" w14:textId="77777777">
      <w:pPr>
        <w:pBdr/>
        <w:spacing/>
        <w:ind/>
        <w:jc w:val="both"/>
        <w:rPr>
          <w:rFonts w:ascii="Arial" w:hAnsi="Arial" w:cs="Arial"/>
          <w:b/>
        </w:rPr>
      </w:pPr>
      <w:r>
        <w:rPr>
          <w:rFonts w:ascii="Arial" w:hAnsi="Arial" w:cs="Arial"/>
          <w:b/>
        </w:rPr>
      </w:r>
      <w:r>
        <w:rPr>
          <w:rFonts w:ascii="Arial" w:hAnsi="Arial" w:cs="Arial"/>
          <w:b/>
        </w:rPr>
      </w:r>
    </w:p>
    <w:p w14:paraId="14DF19D0" w14:textId="77777777">
      <w:pPr>
        <w:pBdr/>
        <w:spacing/>
        <w:ind/>
        <w:jc w:val="both"/>
        <w:rPr/>
      </w:pPr>
      <w:r>
        <w:rPr>
          <w:rFonts w:ascii="Arial" w:hAnsi="Arial" w:cs="Arial"/>
          <w:b/>
        </w:rPr>
        <w:t xml:space="preserve">CLÁUSULA QUARTA – DAS ESPECIFICAÇÕES E QUANTIDADES DOS PRODUTOS</w:t>
      </w:r>
      <w:r/>
    </w:p>
    <w:p w14:paraId="4DEDF1CA" w14:textId="77777777">
      <w:pPr>
        <w:pBdr/>
        <w:spacing/>
        <w:ind/>
        <w:jc w:val="both"/>
        <w:rPr>
          <w:rFonts w:ascii="Arial" w:hAnsi="Arial" w:cs="Arial"/>
          <w:b/>
        </w:rPr>
      </w:pPr>
      <w:r>
        <w:rPr>
          <w:rFonts w:ascii="Arial" w:hAnsi="Arial" w:cs="Arial"/>
          <w:b/>
        </w:rPr>
      </w:r>
      <w:r>
        <w:rPr>
          <w:rFonts w:ascii="Arial" w:hAnsi="Arial" w:cs="Arial"/>
          <w:b/>
        </w:rPr>
      </w:r>
    </w:p>
    <w:p w14:paraId="3C61B92F" w14:textId="77777777">
      <w:pPr>
        <w:pBdr/>
        <w:spacing/>
        <w:ind/>
        <w:jc w:val="both"/>
        <w:rPr/>
      </w:pPr>
      <w:r>
        <w:rPr>
          <w:rFonts w:ascii="Arial" w:hAnsi="Arial" w:cs="Arial"/>
          <w:b/>
        </w:rPr>
        <w:t xml:space="preserve">4.1. </w:t>
      </w:r>
      <w:r>
        <w:rPr>
          <w:rFonts w:ascii="Arial" w:hAnsi="Arial" w:cs="Arial"/>
        </w:rPr>
        <w:t xml:space="preserve">O objeto licitado deverá ser fornecido conforme as especificações e quantidades licitadas e contratadas, constantes nos documentos da CLÁUSULA PRIMEIRA.</w:t>
      </w:r>
      <w:r>
        <w:rPr>
          <w:rFonts w:ascii="Arial" w:hAnsi="Arial" w:cs="Arial"/>
          <w:b/>
        </w:rPr>
        <w:t xml:space="preserve"> </w:t>
      </w:r>
      <w:r/>
    </w:p>
    <w:p w14:paraId="0C0A2202" w14:textId="77777777">
      <w:pPr>
        <w:pBdr/>
        <w:spacing/>
        <w:ind/>
        <w:jc w:val="both"/>
        <w:rPr/>
      </w:pPr>
      <w:r>
        <w:rPr>
          <w:rFonts w:ascii="Arial" w:hAnsi="Arial" w:eastAsia="Arial" w:cs="Arial"/>
          <w:b/>
        </w:rPr>
        <w:t xml:space="preserve">    </w:t>
      </w:r>
      <w:r/>
    </w:p>
    <w:p w14:paraId="7BC769B6" w14:textId="77777777">
      <w:pPr>
        <w:pBdr/>
        <w:spacing/>
        <w:ind/>
        <w:rPr/>
      </w:pPr>
      <w:r>
        <w:rPr>
          <w:rFonts w:ascii="Arial" w:hAnsi="Arial" w:cs="Arial"/>
          <w:b/>
        </w:rPr>
        <w:t xml:space="preserve">CLÁUSULA QUINTA – DAS OBRIGAÇÕES DA CONTRATADA:</w:t>
      </w:r>
      <w:r/>
    </w:p>
    <w:p w14:paraId="2C2F53CB" w14:textId="77777777">
      <w:pPr>
        <w:pBdr/>
        <w:spacing/>
        <w:ind/>
        <w:jc w:val="both"/>
        <w:rPr>
          <w:rFonts w:ascii="Arial" w:hAnsi="Arial" w:cs="Arial"/>
          <w:b/>
        </w:rPr>
      </w:pPr>
      <w:r>
        <w:rPr>
          <w:rFonts w:ascii="Arial" w:hAnsi="Arial" w:cs="Arial"/>
          <w:b/>
        </w:rPr>
      </w:r>
      <w:r>
        <w:rPr>
          <w:rFonts w:ascii="Arial" w:hAnsi="Arial" w:cs="Arial"/>
          <w:b/>
        </w:rPr>
      </w:r>
    </w:p>
    <w:p w14:paraId="2EAE6325" w14:textId="77777777">
      <w:pPr>
        <w:pBdr/>
        <w:spacing/>
        <w:ind/>
        <w:jc w:val="both"/>
        <w:rPr/>
      </w:pPr>
      <w:r>
        <w:rPr>
          <w:rStyle w:val="960"/>
          <w:rFonts w:ascii="Arial" w:hAnsi="Arial" w:eastAsia="Calibri" w:cs="Arial"/>
          <w:b/>
        </w:rPr>
        <w:t xml:space="preserve">5.1.</w:t>
      </w:r>
      <w:r>
        <w:rPr>
          <w:rStyle w:val="960"/>
          <w:rFonts w:ascii="Arial" w:hAnsi="Arial" w:eastAsia="Calibri" w:cs="Arial"/>
        </w:rPr>
        <w:t xml:space="preserve"> Constituem obrigações da Contratada, a</w:t>
      </w:r>
      <w:r>
        <w:rPr>
          <w:rFonts w:ascii="Arial" w:hAnsi="Arial" w:cs="Arial"/>
          <w:lang w:val="pt-PT"/>
        </w:rPr>
        <w:t xml:space="preserve">lém das demais previstas no Termo de Referência</w:t>
      </w:r>
      <w:r>
        <w:rPr>
          <w:rStyle w:val="960"/>
          <w:rFonts w:ascii="Arial" w:hAnsi="Arial" w:eastAsia="Calibri" w:cs="Arial"/>
        </w:rPr>
        <w:t xml:space="preserve">: </w:t>
      </w:r>
      <w:r/>
    </w:p>
    <w:p w14:paraId="731E5875" w14:textId="77777777">
      <w:pPr>
        <w:pBdr/>
        <w:spacing/>
        <w:ind/>
        <w:jc w:val="both"/>
        <w:rPr>
          <w:rStyle w:val="960"/>
          <w:rFonts w:ascii="Arial" w:hAnsi="Arial" w:eastAsia="Calibri" w:cs="Arial"/>
          <w:b/>
        </w:rPr>
      </w:pPr>
      <w:r>
        <w:rPr>
          <w:rFonts w:ascii="Arial" w:hAnsi="Arial" w:eastAsia="Calibri" w:cs="Arial"/>
          <w:b/>
        </w:rPr>
      </w:r>
      <w:r>
        <w:rPr>
          <w:rStyle w:val="960"/>
          <w:rFonts w:ascii="Arial" w:hAnsi="Arial" w:eastAsia="Calibri" w:cs="Arial"/>
          <w:b/>
        </w:rPr>
      </w:r>
    </w:p>
    <w:p w14:paraId="6E346E6C" w14:textId="77777777">
      <w:pPr>
        <w:pBdr/>
        <w:spacing/>
        <w:ind/>
        <w:jc w:val="both"/>
        <w:rPr/>
      </w:pPr>
      <w:r>
        <w:rPr>
          <w:rStyle w:val="960"/>
          <w:rFonts w:ascii="Arial" w:hAnsi="Arial" w:eastAsia="Calibri" w:cs="Arial"/>
          <w:b/>
        </w:rPr>
        <w:t xml:space="preserve">5.2.</w:t>
      </w:r>
      <w:r>
        <w:rPr>
          <w:rStyle w:val="960"/>
          <w:rFonts w:ascii="Arial" w:hAnsi="Arial" w:eastAsia="Calibri" w:cs="Arial"/>
        </w:rPr>
        <w:t xml:space="preserve"> Cumprir o objeto da contratação, realizando os serviços especificados na Cláusula Segunda, conforme disposições contidas na cláusula quarta. </w:t>
      </w:r>
      <w:r/>
    </w:p>
    <w:p w14:paraId="6C7D110E" w14:textId="77777777">
      <w:pPr>
        <w:pBdr/>
        <w:spacing/>
        <w:ind/>
        <w:jc w:val="both"/>
        <w:rPr/>
      </w:pPr>
      <w:r/>
      <w:r/>
    </w:p>
    <w:p w14:paraId="15042E9D" w14:textId="77777777">
      <w:pPr>
        <w:pBdr/>
        <w:spacing/>
        <w:ind/>
        <w:jc w:val="both"/>
        <w:rPr/>
      </w:pPr>
      <w:r>
        <w:rPr>
          <w:rStyle w:val="960"/>
          <w:rFonts w:ascii="Arial" w:hAnsi="Arial" w:eastAsia="Calibri" w:cs="Arial"/>
          <w:b/>
        </w:rPr>
        <w:t xml:space="preserve">5.3.</w:t>
      </w:r>
      <w:r>
        <w:rPr>
          <w:rStyle w:val="960"/>
          <w:rFonts w:ascii="Arial" w:hAnsi="Arial" w:eastAsia="Calibri" w:cs="Arial"/>
        </w:rPr>
        <w:t xml:space="preserve"> Cumprir todas as leis e posturas federais, estaduais e municipais pertinentes e responsabilizar-se por todos os prejuízos decorrentes de infrações a que houver dado causa. </w:t>
      </w:r>
      <w:r/>
    </w:p>
    <w:p w14:paraId="5C7CFF7F" w14:textId="77777777">
      <w:pPr>
        <w:pBdr/>
        <w:spacing/>
        <w:ind/>
        <w:jc w:val="both"/>
        <w:rPr/>
      </w:pPr>
      <w:r/>
      <w:r/>
    </w:p>
    <w:p w14:paraId="42628966" w14:textId="77777777">
      <w:pPr>
        <w:pBdr/>
        <w:spacing/>
        <w:ind/>
        <w:jc w:val="both"/>
        <w:rPr/>
      </w:pPr>
      <w:r>
        <w:rPr>
          <w:rStyle w:val="960"/>
          <w:rFonts w:ascii="Arial" w:hAnsi="Arial" w:eastAsia="Calibri" w:cs="Arial"/>
          <w:b/>
        </w:rPr>
        <w:t xml:space="preserve">5.4.</w:t>
      </w:r>
      <w:r>
        <w:rPr>
          <w:rStyle w:val="960"/>
          <w:rFonts w:ascii="Arial" w:hAnsi="Arial" w:eastAsia="Calibri" w:cs="Arial"/>
        </w:rPr>
        <w:t xml:space="preserve"> Assumir, com exclusividade, todos os tributos, impostos e taxas que forem devidos em decorrência do objet</w:t>
      </w:r>
      <w:r>
        <w:rPr>
          <w:rStyle w:val="960"/>
          <w:rFonts w:ascii="Arial" w:hAnsi="Arial" w:eastAsia="Calibri" w:cs="Arial"/>
        </w:rPr>
        <w:t xml:space="preserve">o da contratação e quaisquer outras despesas que se fizerem necessárias ao cumprimento do objeto pactuado, inclusive quanto ao transporte, carga e descarga, configuração, despesas com pessoal e apresentar os respectivos comprovantes quando solicitado pelo </w:t>
      </w:r>
      <w:r>
        <w:rPr>
          <w:rStyle w:val="960"/>
          <w:rFonts w:ascii="Arial" w:hAnsi="Arial" w:eastAsia="Calibri" w:cs="Arial"/>
          <w:b/>
        </w:rPr>
        <w:t xml:space="preserve">CONTRATANTE</w:t>
      </w:r>
      <w:r>
        <w:rPr>
          <w:rStyle w:val="960"/>
          <w:rFonts w:ascii="Arial" w:hAnsi="Arial" w:eastAsia="Calibri" w:cs="Arial"/>
        </w:rPr>
        <w:t xml:space="preserve">. </w:t>
      </w:r>
      <w:r/>
    </w:p>
    <w:p w14:paraId="593DD4DC" w14:textId="77777777">
      <w:pPr>
        <w:pBdr/>
        <w:spacing/>
        <w:ind/>
        <w:jc w:val="both"/>
        <w:rPr/>
      </w:pPr>
      <w:r/>
      <w:r/>
    </w:p>
    <w:p w14:paraId="341BEEB7" w14:textId="77777777">
      <w:pPr>
        <w:pBdr/>
        <w:spacing/>
        <w:ind/>
        <w:jc w:val="both"/>
        <w:rPr/>
      </w:pPr>
      <w:r>
        <w:rPr>
          <w:rStyle w:val="960"/>
          <w:rFonts w:ascii="Arial" w:hAnsi="Arial" w:eastAsia="Calibri" w:cs="Arial"/>
          <w:b/>
        </w:rPr>
        <w:t xml:space="preserve">5.5.</w:t>
      </w:r>
      <w:r>
        <w:rPr>
          <w:rStyle w:val="960"/>
          <w:rFonts w:ascii="Arial" w:hAnsi="Arial" w:eastAsia="Calibri" w:cs="Arial"/>
        </w:rPr>
        <w:t xml:space="preserve"> Aceitar, nas mesmas condições contratuais, os acréscimos ou supressões que se fizerem, no objeto deste instrumento de até 25% (vinte e cinco por cento) do valor inicial atualizado da contratação. </w:t>
      </w:r>
      <w:r/>
    </w:p>
    <w:p w14:paraId="2EA1A073" w14:textId="77777777">
      <w:pPr>
        <w:pBdr/>
        <w:spacing/>
        <w:ind/>
        <w:jc w:val="both"/>
        <w:rPr/>
      </w:pPr>
      <w:r/>
      <w:r/>
    </w:p>
    <w:p w14:paraId="09951793" w14:textId="77777777">
      <w:pPr>
        <w:pBdr/>
        <w:spacing/>
        <w:ind/>
        <w:jc w:val="both"/>
        <w:rPr/>
      </w:pPr>
      <w:r>
        <w:rPr>
          <w:rStyle w:val="960"/>
          <w:rFonts w:ascii="Arial" w:hAnsi="Arial" w:eastAsia="Calibri" w:cs="Arial"/>
          <w:b/>
        </w:rPr>
        <w:t xml:space="preserve">5.6.</w:t>
      </w:r>
      <w:r>
        <w:rPr>
          <w:rStyle w:val="960"/>
          <w:rFonts w:ascii="Arial" w:hAnsi="Arial" w:eastAsia="Calibri" w:cs="Arial"/>
        </w:rPr>
        <w:t xml:space="preserve"> Responder perante a </w:t>
      </w:r>
      <w:r>
        <w:rPr>
          <w:rStyle w:val="960"/>
          <w:rFonts w:ascii="Arial" w:hAnsi="Arial" w:eastAsia="Calibri" w:cs="Arial"/>
          <w:b/>
        </w:rPr>
        <w:t xml:space="preserve">CONTRATANTE</w:t>
      </w:r>
      <w:r>
        <w:rPr>
          <w:rStyle w:val="960"/>
          <w:rFonts w:ascii="Arial" w:hAnsi="Arial" w:eastAsia="Calibri" w:cs="Arial"/>
        </w:rPr>
        <w:t xml:space="preserve"> e terceiros por eventuais prejuízos e danos decorrentes de sua demora ou de sua omissão, na condução do objeto deste instrumento sob a sua responsabilidade ou por erro relativo à sua execução. </w:t>
      </w:r>
      <w:r/>
    </w:p>
    <w:p w14:paraId="37B613EE" w14:textId="77777777">
      <w:pPr>
        <w:pBdr/>
        <w:spacing/>
        <w:ind/>
        <w:jc w:val="both"/>
        <w:rPr/>
      </w:pPr>
      <w:r/>
      <w:r/>
    </w:p>
    <w:p w14:paraId="5F276DC5" w14:textId="77777777">
      <w:pPr>
        <w:pBdr/>
        <w:spacing/>
        <w:ind/>
        <w:jc w:val="both"/>
        <w:rPr/>
      </w:pPr>
      <w:r>
        <w:rPr>
          <w:rStyle w:val="960"/>
          <w:rFonts w:ascii="Arial" w:hAnsi="Arial" w:eastAsia="Calibri" w:cs="Arial"/>
          <w:b/>
        </w:rPr>
        <w:t xml:space="preserve">5.7.</w:t>
      </w:r>
      <w:r>
        <w:rPr>
          <w:rStyle w:val="960"/>
          <w:rFonts w:ascii="Arial" w:hAnsi="Arial" w:eastAsia="Calibri" w:cs="Arial"/>
        </w:rPr>
        <w:t xml:space="preserve"> Responsabilizar-se por quaisquer ônus decorrentes de omissões ou erros na elaboração de estimativa de custos e que redundem em aumento de despesas para o </w:t>
      </w:r>
      <w:r>
        <w:rPr>
          <w:rStyle w:val="960"/>
          <w:rFonts w:ascii="Arial" w:hAnsi="Arial" w:eastAsia="Calibri" w:cs="Arial"/>
          <w:b/>
        </w:rPr>
        <w:t xml:space="preserve">CONTRATANTE</w:t>
      </w:r>
      <w:r>
        <w:rPr>
          <w:rStyle w:val="960"/>
          <w:rFonts w:ascii="Arial" w:hAnsi="Arial" w:eastAsia="Calibri" w:cs="Arial"/>
        </w:rPr>
        <w:t xml:space="preserve">. </w:t>
      </w:r>
      <w:r/>
    </w:p>
    <w:p w14:paraId="06AB1661" w14:textId="77777777">
      <w:pPr>
        <w:pBdr/>
        <w:spacing/>
        <w:ind/>
        <w:jc w:val="both"/>
        <w:rPr/>
      </w:pPr>
      <w:r/>
      <w:r/>
    </w:p>
    <w:p w14:paraId="6C864BB8" w14:textId="77777777">
      <w:pPr>
        <w:pBdr/>
        <w:spacing/>
        <w:ind/>
        <w:jc w:val="both"/>
        <w:rPr/>
      </w:pPr>
      <w:r>
        <w:rPr>
          <w:rStyle w:val="960"/>
          <w:rFonts w:ascii="Arial" w:hAnsi="Arial" w:eastAsia="Calibri" w:cs="Arial"/>
          <w:b/>
        </w:rPr>
        <w:t xml:space="preserve">5.8.</w:t>
      </w:r>
      <w:r>
        <w:rPr>
          <w:rStyle w:val="960"/>
          <w:rFonts w:ascii="Arial" w:hAnsi="Arial" w:eastAsia="Calibri" w:cs="Arial"/>
        </w:rPr>
        <w:t xml:space="preserve"> Responsabilizar-se pelo ônus resultante de quaisquer ações, demandas, custos e despesas decorrentes de danos</w:t>
      </w:r>
      <w:r>
        <w:rPr>
          <w:rStyle w:val="960"/>
          <w:rFonts w:ascii="Arial" w:hAnsi="Arial" w:eastAsia="Calibri" w:cs="Arial"/>
        </w:rPr>
        <w:t xml:space="preserve"> causados por culpa ou dolo de seus empregados, prepostos e/ou contratados, bem como se obrigar por quaisquer responsabilidades decorrentes de ações judiciais que lhe venham a ser atribuídas por força de lei, relacionadas com o cumprimento da contratação. </w:t>
      </w:r>
      <w:r/>
    </w:p>
    <w:p w14:paraId="7713D2CB" w14:textId="77777777">
      <w:pPr>
        <w:pBdr/>
        <w:spacing/>
        <w:ind/>
        <w:jc w:val="both"/>
        <w:rPr/>
      </w:pPr>
      <w:r/>
      <w:r/>
    </w:p>
    <w:p w14:paraId="4E8AA6D0" w14:textId="77777777">
      <w:pPr>
        <w:pBdr/>
        <w:spacing/>
        <w:ind/>
        <w:jc w:val="both"/>
        <w:rPr/>
      </w:pPr>
      <w:r>
        <w:rPr>
          <w:rStyle w:val="960"/>
          <w:rFonts w:ascii="Arial" w:hAnsi="Arial" w:eastAsia="Calibri" w:cs="Arial"/>
          <w:b/>
        </w:rPr>
        <w:t xml:space="preserve">5.9.</w:t>
      </w:r>
      <w:r>
        <w:rPr>
          <w:rStyle w:val="960"/>
          <w:rFonts w:ascii="Arial" w:hAnsi="Arial" w:eastAsia="Calibri" w:cs="Arial"/>
        </w:rPr>
        <w:t xml:space="preserve"> Manter-se, durante toda a execução do contrato, em compatibilidade com todas as condições de habilitação e qualificação exigidas na licitação. </w:t>
      </w:r>
      <w:r/>
    </w:p>
    <w:p w14:paraId="382E5726" w14:textId="77777777">
      <w:pPr>
        <w:pBdr/>
        <w:spacing/>
        <w:ind/>
        <w:jc w:val="both"/>
        <w:rPr/>
      </w:pPr>
      <w:r>
        <w:rPr>
          <w:rStyle w:val="960"/>
          <w:rFonts w:ascii="Arial" w:hAnsi="Arial" w:eastAsia="Calibri" w:cs="Arial"/>
          <w:b/>
        </w:rPr>
        <w:t xml:space="preserve">5.10.</w:t>
      </w:r>
      <w:r>
        <w:rPr>
          <w:rStyle w:val="960"/>
          <w:rFonts w:ascii="Arial" w:hAnsi="Arial" w:eastAsia="Calibri" w:cs="Arial"/>
        </w:rPr>
        <w:t xml:space="preserve"> Comunicar a Prefeitura Municipal qualquer alteração às condições em que se encontrava no momento da contratação dos serviços, como endereço, telefone, conta bancária, responsável pela empresa, etc.</w:t>
      </w:r>
      <w:r>
        <w:rPr>
          <w:rFonts w:ascii="Arial" w:hAnsi="Arial" w:cs="Arial"/>
        </w:rPr>
        <w:t xml:space="preserve"> </w:t>
      </w:r>
      <w:r/>
    </w:p>
    <w:p w14:paraId="64D2219F" w14:textId="77777777">
      <w:pPr>
        <w:pBdr/>
        <w:spacing/>
        <w:ind/>
        <w:jc w:val="both"/>
        <w:rPr>
          <w:rFonts w:ascii="Arial" w:hAnsi="Arial" w:cs="Arial"/>
        </w:rPr>
      </w:pPr>
      <w:r>
        <w:rPr>
          <w:rFonts w:ascii="Arial" w:hAnsi="Arial" w:cs="Arial"/>
        </w:rPr>
      </w:r>
      <w:r>
        <w:rPr>
          <w:rFonts w:ascii="Arial" w:hAnsi="Arial" w:cs="Arial"/>
        </w:rPr>
      </w:r>
    </w:p>
    <w:p w14:paraId="6C60C247" w14:textId="77777777">
      <w:pPr>
        <w:pBdr/>
        <w:spacing/>
        <w:ind/>
        <w:jc w:val="both"/>
        <w:rPr>
          <w:rFonts w:ascii="Arial" w:hAnsi="Arial" w:cs="Arial"/>
          <w:u w:val="single"/>
          <w:lang w:val="pt-PT"/>
        </w:rPr>
      </w:pPr>
      <w:r>
        <w:rPr>
          <w:rFonts w:ascii="Arial" w:hAnsi="Arial" w:cs="Arial"/>
          <w:b/>
          <w:u w:val="single"/>
          <w:lang w:val="pt-PT"/>
        </w:rPr>
        <w:t xml:space="preserve">5.11</w:t>
      </w:r>
      <w:r>
        <w:rPr>
          <w:rFonts w:ascii="Arial" w:hAnsi="Arial" w:cs="Arial"/>
          <w:u w:val="single"/>
          <w:lang w:val="pt-PT"/>
        </w:rPr>
        <w:t xml:space="preserve">. A </w:t>
      </w:r>
      <w:r>
        <w:rPr>
          <w:rFonts w:ascii="Arial" w:hAnsi="Arial" w:cs="Arial"/>
          <w:b/>
          <w:u w:val="single"/>
          <w:lang w:val="pt-PT"/>
        </w:rPr>
        <w:t xml:space="preserve">CONTRATADA</w:t>
      </w:r>
      <w:r>
        <w:rPr>
          <w:rFonts w:ascii="Arial" w:hAnsi="Arial" w:cs="Arial"/>
          <w:u w:val="single"/>
          <w:lang w:val="pt-PT"/>
        </w:rPr>
        <w:t xml:space="preserve"> se obriga a permitir que a auditoria interna da </w:t>
      </w:r>
      <w:r>
        <w:rPr>
          <w:rFonts w:ascii="Arial" w:hAnsi="Arial" w:cs="Arial"/>
          <w:b/>
          <w:u w:val="single"/>
          <w:lang w:val="pt-PT"/>
        </w:rPr>
        <w:t xml:space="preserve">CONTRATANTE</w:t>
      </w:r>
      <w:r>
        <w:rPr>
          <w:rFonts w:ascii="Arial" w:hAnsi="Arial" w:cs="Arial"/>
          <w:u w:val="single"/>
          <w:lang w:val="pt-PT"/>
        </w:rPr>
        <w:t xml:space="preserve"> por ela indicada, tenham acesso a todos os documentos fiscais e contábeis que digam respeito aos serviços fornecidos à </w:t>
      </w:r>
      <w:r>
        <w:rPr>
          <w:rFonts w:ascii="Arial" w:hAnsi="Arial" w:cs="Arial"/>
          <w:b/>
          <w:u w:val="single"/>
          <w:lang w:val="pt-PT"/>
        </w:rPr>
        <w:t xml:space="preserve">CONTRATANTE</w:t>
      </w:r>
      <w:r>
        <w:rPr>
          <w:rFonts w:ascii="Arial" w:hAnsi="Arial" w:cs="Arial"/>
          <w:u w:val="single"/>
          <w:lang w:val="pt-PT"/>
        </w:rPr>
        <w:t xml:space="preserve">.</w:t>
      </w:r>
      <w:r>
        <w:rPr>
          <w:rFonts w:ascii="Arial" w:hAnsi="Arial" w:cs="Arial"/>
          <w:u w:val="single"/>
          <w:lang w:val="pt-PT"/>
        </w:rPr>
      </w:r>
    </w:p>
    <w:p w14:paraId="6D9AE896" w14:textId="24DC3F83">
      <w:pPr>
        <w:pBdr/>
        <w:spacing/>
        <w:ind/>
        <w:jc w:val="both"/>
        <w:rPr/>
      </w:pPr>
      <w:r>
        <w:rPr>
          <w:rFonts w:ascii="Arial" w:hAnsi="Arial" w:cs="Arial"/>
          <w:lang w:val="pt-PT"/>
        </w:rPr>
        <w:t xml:space="preserve">5.11.</w:t>
      </w:r>
      <w:r>
        <w:rPr>
          <w:rFonts w:ascii="Arial" w:hAnsi="Arial" w:cs="Arial"/>
          <w:lang w:val="pt-PT"/>
        </w:rPr>
        <w:t xml:space="preserve">1.</w:t>
      </w:r>
      <w:r>
        <w:rPr>
          <w:rFonts w:ascii="Arial" w:hAnsi="Arial" w:cs="Arial"/>
          <w:lang w:val="pt-PT"/>
        </w:rPr>
        <w:t xml:space="preserve"> </w:t>
      </w:r>
      <w:r>
        <w:rPr>
          <w:rFonts w:ascii="Arial" w:hAnsi="Arial" w:cs="Arial"/>
          <w:lang w:val="pt-PT"/>
        </w:rPr>
        <w:t xml:space="preserve">Co</w:t>
      </w:r>
      <w:r>
        <w:rPr>
          <w:rFonts w:ascii="Arial" w:hAnsi="Arial" w:cs="Arial"/>
          <w:lang w:val="pt-PT"/>
        </w:rPr>
        <w:t xml:space="preserve">nceder livre acesso aos documentos e registros contábeis da empresa, referente ao objeto da licitação, para os servidores ou empregados do órgão ou entidade contratante e dos órgãos de controle interno e externo, conforme Art. 169, § 2º da Lei 14.133/2021.</w:t>
      </w:r>
      <w:r/>
    </w:p>
    <w:p w14:paraId="5709FEC0" w14:textId="77777777">
      <w:pPr>
        <w:pBdr/>
        <w:spacing/>
        <w:ind/>
        <w:jc w:val="both"/>
        <w:rPr>
          <w:rFonts w:ascii="Arial" w:hAnsi="Arial" w:cs="Arial"/>
          <w:lang w:val="pt-PT"/>
        </w:rPr>
      </w:pPr>
      <w:r>
        <w:rPr>
          <w:rFonts w:ascii="Arial" w:hAnsi="Arial" w:cs="Arial"/>
          <w:lang w:val="pt-PT"/>
        </w:rPr>
      </w:r>
      <w:r>
        <w:rPr>
          <w:rFonts w:ascii="Arial" w:hAnsi="Arial" w:cs="Arial"/>
          <w:lang w:val="pt-PT"/>
        </w:rPr>
      </w:r>
    </w:p>
    <w:p w14:paraId="357EE763" w14:textId="77777777">
      <w:pPr>
        <w:pBdr/>
        <w:spacing/>
        <w:ind/>
        <w:jc w:val="both"/>
        <w:rPr/>
      </w:pPr>
      <w:r>
        <w:rPr>
          <w:rStyle w:val="960"/>
          <w:rFonts w:ascii="Arial" w:hAnsi="Arial" w:eastAsia="Calibri" w:cs="Arial"/>
          <w:b/>
        </w:rPr>
        <w:t xml:space="preserve">5.12.</w:t>
      </w:r>
      <w:r>
        <w:rPr>
          <w:rStyle w:val="960"/>
          <w:rFonts w:ascii="Arial" w:hAnsi="Arial" w:eastAsia="Calibri" w:cs="Arial"/>
        </w:rPr>
        <w:t xml:space="preserve"> Executar o fornecimento dentro dos padrões estabelecidos, de acordo com a especificação dos serviços, responsabilizando-se por eventuais prejuízos decorrentes do descumprimento de condição estabelecida. </w:t>
      </w:r>
      <w:r/>
    </w:p>
    <w:p w14:paraId="607FA06C" w14:textId="77777777">
      <w:pPr>
        <w:pBdr/>
        <w:spacing/>
        <w:ind/>
        <w:jc w:val="both"/>
        <w:rPr/>
      </w:pPr>
      <w:r/>
      <w:r/>
    </w:p>
    <w:p w14:paraId="1B3A38D0" w14:textId="77777777">
      <w:pPr>
        <w:pBdr/>
        <w:spacing/>
        <w:ind/>
        <w:jc w:val="both"/>
        <w:rPr/>
      </w:pPr>
      <w:r>
        <w:rPr>
          <w:rFonts w:ascii="Arial" w:hAnsi="Arial" w:cs="Arial"/>
          <w:b/>
        </w:rPr>
        <w:t xml:space="preserve">5.13.</w:t>
      </w:r>
      <w:r>
        <w:rPr>
          <w:rFonts w:ascii="Arial" w:hAnsi="Arial" w:cs="Arial"/>
        </w:rPr>
        <w:t xml:space="preserve"> Cumprir com os prazos de entrega acordados junto à Secretaria solicitante dos materiais;</w:t>
      </w:r>
      <w:r/>
    </w:p>
    <w:p w14:paraId="23A2346B" w14:textId="77777777">
      <w:pPr>
        <w:pBdr/>
        <w:spacing/>
        <w:ind/>
        <w:jc w:val="both"/>
        <w:rPr>
          <w:rFonts w:ascii="Arial" w:hAnsi="Arial" w:cs="Arial"/>
        </w:rPr>
      </w:pPr>
      <w:r>
        <w:rPr>
          <w:rFonts w:ascii="Arial" w:hAnsi="Arial" w:cs="Arial"/>
        </w:rPr>
      </w:r>
      <w:r>
        <w:rPr>
          <w:rFonts w:ascii="Arial" w:hAnsi="Arial" w:cs="Arial"/>
        </w:rPr>
      </w:r>
    </w:p>
    <w:p w14:paraId="20C1B0D5" w14:textId="77777777">
      <w:pPr>
        <w:pBdr/>
        <w:spacing/>
        <w:ind/>
        <w:jc w:val="both"/>
        <w:rPr/>
      </w:pPr>
      <w:r>
        <w:rPr>
          <w:rStyle w:val="960"/>
          <w:rFonts w:ascii="Arial" w:hAnsi="Arial" w:eastAsia="Calibri" w:cs="Arial"/>
          <w:b/>
        </w:rPr>
        <w:t xml:space="preserve">5.14</w:t>
      </w:r>
      <w:r>
        <w:rPr>
          <w:rStyle w:val="960"/>
          <w:rFonts w:ascii="Arial" w:hAnsi="Arial" w:eastAsia="Calibri" w:cs="Arial"/>
        </w:rPr>
        <w:t xml:space="preserve">. Realizar as entregas dos produtos no endereço fornecido pela Secretaria;</w:t>
      </w:r>
      <w:r/>
    </w:p>
    <w:p w14:paraId="41A9AB8D" w14:textId="77777777">
      <w:pPr>
        <w:pBdr/>
        <w:spacing/>
        <w:ind/>
        <w:jc w:val="both"/>
        <w:rPr/>
      </w:pPr>
      <w:r/>
      <w:r/>
    </w:p>
    <w:p w14:paraId="252727B3" w14:textId="77777777">
      <w:pPr>
        <w:pBdr/>
        <w:spacing/>
        <w:ind/>
        <w:jc w:val="both"/>
        <w:rPr/>
      </w:pPr>
      <w:r>
        <w:rPr>
          <w:rStyle w:val="960"/>
          <w:rFonts w:ascii="Arial" w:hAnsi="Arial" w:eastAsia="Calibri" w:cs="Arial"/>
          <w:b/>
        </w:rPr>
        <w:t xml:space="preserve">5.15.</w:t>
      </w:r>
      <w:r>
        <w:rPr>
          <w:rStyle w:val="960"/>
          <w:rFonts w:ascii="Arial" w:hAnsi="Arial" w:eastAsia="Calibri" w:cs="Arial"/>
        </w:rPr>
        <w:t xml:space="preserve"> Os produtos que se encontrarem em desconformidade com as condições exigidas, deverão ser substituídos num prazo de até 05 (cinco) dias a partir da data da solicitação da substituição dos mesmos.</w:t>
      </w:r>
      <w:r>
        <w:rPr>
          <w:rFonts w:ascii="Arial" w:hAnsi="Arial" w:cs="Arial"/>
        </w:rPr>
        <w:t xml:space="preserve"> </w:t>
      </w:r>
      <w:r/>
    </w:p>
    <w:p w14:paraId="6A2AD1F2" w14:textId="77777777">
      <w:pPr>
        <w:pBdr/>
        <w:spacing/>
        <w:ind/>
        <w:jc w:val="both"/>
        <w:rPr>
          <w:rFonts w:ascii="Arial" w:hAnsi="Arial" w:cs="Arial"/>
          <w:b/>
        </w:rPr>
      </w:pPr>
      <w:r>
        <w:rPr>
          <w:rFonts w:ascii="Arial" w:hAnsi="Arial" w:cs="Arial"/>
          <w:b/>
        </w:rPr>
      </w:r>
      <w:r>
        <w:rPr>
          <w:rFonts w:ascii="Arial" w:hAnsi="Arial" w:cs="Arial"/>
          <w:b/>
        </w:rPr>
      </w:r>
    </w:p>
    <w:p w14:paraId="07C51B8A" w14:textId="77777777">
      <w:pPr>
        <w:pBdr/>
        <w:spacing/>
        <w:ind/>
        <w:jc w:val="both"/>
        <w:rPr>
          <w:u w:val="single"/>
        </w:rPr>
      </w:pPr>
      <w:r>
        <w:rPr>
          <w:rFonts w:ascii="Arial" w:hAnsi="Arial" w:cs="Arial"/>
          <w:b/>
        </w:rPr>
        <w:t xml:space="preserve">5.16.</w:t>
      </w:r>
      <w:r>
        <w:rPr>
          <w:rFonts w:ascii="Arial" w:hAnsi="Arial" w:cs="Arial"/>
        </w:rPr>
        <w:t xml:space="preserve"> Prestar esclarecimentos que forem solicitados pelo Município, cujas reclamações se obriga a atender prontamente, bem como, oferecer</w:t>
      </w:r>
      <w:r>
        <w:rPr>
          <w:rFonts w:ascii="Arial" w:hAnsi="Arial" w:cs="Arial"/>
          <w:lang w:val="pt-PT"/>
        </w:rPr>
        <w:t xml:space="preserve"> condições para a mais ampla e completa fiscalização, durante a vigência deste Contrato, bem como de seu (s) aditivo (s), propiciando </w:t>
      </w:r>
      <w:r>
        <w:rPr>
          <w:rFonts w:ascii="Arial" w:hAnsi="Arial" w:cs="Arial"/>
          <w:u w:val="single"/>
          <w:lang w:val="pt-PT"/>
        </w:rPr>
        <w:t xml:space="preserve">o acesso à toda documentação pertinente (s) ao (s) fornecimento (s) dos produtos, atendendo às observações e exigências apresentadas pela fiscalização.</w:t>
      </w:r>
      <w:r>
        <w:rPr>
          <w:u w:val="single"/>
        </w:rPr>
      </w:r>
    </w:p>
    <w:p w14:paraId="2FBE42D1" w14:textId="77777777">
      <w:pPr>
        <w:pBdr/>
        <w:spacing/>
        <w:ind/>
        <w:jc w:val="both"/>
        <w:rPr>
          <w:rFonts w:ascii="Arial" w:hAnsi="Arial" w:cs="Arial"/>
          <w:lang w:val="pt-PT"/>
        </w:rPr>
      </w:pPr>
      <w:r>
        <w:rPr>
          <w:rFonts w:ascii="Arial" w:hAnsi="Arial" w:cs="Arial"/>
          <w:lang w:val="pt-PT"/>
        </w:rPr>
      </w:r>
      <w:r>
        <w:rPr>
          <w:rFonts w:ascii="Arial" w:hAnsi="Arial" w:cs="Arial"/>
          <w:lang w:val="pt-PT"/>
        </w:rPr>
      </w:r>
    </w:p>
    <w:p w14:paraId="311622EB" w14:textId="77777777">
      <w:pPr>
        <w:pBdr/>
        <w:spacing/>
        <w:ind/>
        <w:jc w:val="both"/>
        <w:rPr/>
      </w:pPr>
      <w:r>
        <w:rPr>
          <w:rFonts w:ascii="Arial" w:hAnsi="Arial" w:cs="Arial"/>
          <w:b/>
        </w:rPr>
        <w:t xml:space="preserve">5.17.</w:t>
      </w:r>
      <w:r>
        <w:rPr>
          <w:rFonts w:ascii="Arial" w:hAnsi="Arial" w:cs="Arial"/>
        </w:rPr>
        <w:t xml:space="preserve"> A contratada se responsabilizará pela substituição dos produtos entregues</w:t>
      </w:r>
      <w:r>
        <w:rPr>
          <w:rFonts w:ascii="Arial" w:hAnsi="Arial" w:cs="Arial"/>
          <w:b/>
        </w:rPr>
        <w:t xml:space="preserve"> </w:t>
      </w:r>
      <w:r>
        <w:rPr>
          <w:rFonts w:ascii="Arial" w:hAnsi="Arial" w:cs="Arial"/>
        </w:rPr>
        <w:t xml:space="preserve">em que forem constatados defeitos de fabricação ou que se encontrarem em desacordo com as especificações constantes deste Edital e seus anexos, isentando este Município de quaisquer ônus financeiros adicionais;</w:t>
      </w:r>
      <w:r/>
    </w:p>
    <w:p w14:paraId="394666CA" w14:textId="77777777">
      <w:pPr>
        <w:pBdr/>
        <w:spacing/>
        <w:ind/>
        <w:jc w:val="both"/>
        <w:rPr>
          <w:rFonts w:ascii="Arial" w:hAnsi="Arial" w:cs="Arial"/>
        </w:rPr>
      </w:pPr>
      <w:r>
        <w:rPr>
          <w:rFonts w:ascii="Arial" w:hAnsi="Arial" w:cs="Arial"/>
        </w:rPr>
      </w:r>
      <w:r>
        <w:rPr>
          <w:rFonts w:ascii="Arial" w:hAnsi="Arial" w:cs="Arial"/>
        </w:rPr>
      </w:r>
    </w:p>
    <w:p w14:paraId="5CE22FEB" w14:textId="77777777">
      <w:pPr>
        <w:pBdr/>
        <w:spacing/>
        <w:ind/>
        <w:jc w:val="both"/>
        <w:rPr>
          <w:rFonts w:ascii="Arial" w:hAnsi="Arial" w:cs="Arial"/>
        </w:rPr>
      </w:pPr>
      <w:r>
        <w:rPr>
          <w:rFonts w:ascii="Arial" w:hAnsi="Arial" w:cs="Arial"/>
          <w:b/>
        </w:rPr>
        <w:t xml:space="preserve">5.18. </w:t>
      </w:r>
      <w:r>
        <w:rPr>
          <w:rFonts w:ascii="Arial" w:hAnsi="Arial" w:cs="Arial"/>
        </w:rPr>
        <w:t xml:space="preserve">A CONTRATADA tem a obrigação de atender as exigências de reserva de cargos prevista em lei, bem como em outras normas específicas, para pessoa com deficiência, para reabilitado da Previdência Social e para aprendiz; (Lei 14.133/2021 art. 92 – inciso XVII).</w:t>
      </w:r>
      <w:r>
        <w:rPr>
          <w:rFonts w:ascii="Arial" w:hAnsi="Arial" w:cs="Arial"/>
        </w:rPr>
      </w:r>
    </w:p>
    <w:p w14:paraId="6C5530B9" w14:textId="77777777">
      <w:pPr>
        <w:pBdr/>
        <w:spacing/>
        <w:ind/>
        <w:jc w:val="both"/>
        <w:rPr>
          <w:rFonts w:ascii="Arial" w:hAnsi="Arial" w:cs="Arial"/>
        </w:rPr>
      </w:pPr>
      <w:r>
        <w:rPr>
          <w:rFonts w:ascii="Arial" w:hAnsi="Arial" w:cs="Arial"/>
        </w:rPr>
      </w:r>
      <w:r>
        <w:rPr>
          <w:rFonts w:ascii="Arial" w:hAnsi="Arial" w:cs="Arial"/>
        </w:rPr>
      </w:r>
    </w:p>
    <w:p w14:paraId="1B3B07B2" w14:textId="77777777">
      <w:pPr>
        <w:pBdr/>
        <w:tabs>
          <w:tab w:val="left" w:leader="none" w:pos="3514"/>
        </w:tabs>
        <w:spacing/>
        <w:ind/>
        <w:jc w:val="both"/>
        <w:rPr>
          <w:rFonts w:ascii="Arial" w:hAnsi="Arial" w:cs="Arial"/>
          <w:u w:val="single"/>
        </w:rPr>
      </w:pPr>
      <w:r>
        <w:rPr>
          <w:rFonts w:ascii="Arial" w:hAnsi="Arial" w:cs="Arial"/>
          <w:b/>
          <w:u w:val="single"/>
        </w:rPr>
        <w:t xml:space="preserve">5.19. </w:t>
      </w:r>
      <w:r>
        <w:rPr>
          <w:rFonts w:ascii="Arial" w:hAnsi="Arial" w:cs="Arial"/>
          <w:color w:val="000000"/>
          <w:u w:val="single"/>
        </w:rPr>
        <w:t xml:space="preserve">Providenciar a imediata troca de todo equipamento que vier a apresentar defeito durante período de garantia legal.</w:t>
      </w:r>
      <w:r>
        <w:rPr>
          <w:rFonts w:ascii="Arial" w:hAnsi="Arial" w:cs="Arial"/>
          <w:u w:val="single"/>
        </w:rPr>
      </w:r>
    </w:p>
    <w:p w14:paraId="42A2ED17" w14:textId="77777777">
      <w:pPr>
        <w:pBdr/>
        <w:tabs>
          <w:tab w:val="left" w:leader="none" w:pos="3514"/>
        </w:tabs>
        <w:spacing/>
        <w:ind/>
        <w:jc w:val="both"/>
        <w:rPr>
          <w:rFonts w:ascii="Arial" w:hAnsi="Arial" w:cs="Arial"/>
          <w:u w:val="single"/>
        </w:rPr>
      </w:pPr>
      <w:r>
        <w:rPr>
          <w:rFonts w:ascii="Arial" w:hAnsi="Arial" w:cs="Arial"/>
          <w:u w:val="single"/>
        </w:rPr>
      </w:r>
      <w:r>
        <w:rPr>
          <w:rFonts w:ascii="Arial" w:hAnsi="Arial" w:cs="Arial"/>
          <w:u w:val="single"/>
        </w:rPr>
      </w:r>
    </w:p>
    <w:p w14:paraId="7F6E5262" w14:textId="77777777">
      <w:pPr>
        <w:pBdr/>
        <w:tabs>
          <w:tab w:val="left" w:leader="none" w:pos="567"/>
        </w:tabs>
        <w:spacing/>
        <w:ind/>
        <w:jc w:val="both"/>
        <w:rPr>
          <w:rFonts w:ascii="Arial" w:hAnsi="Arial" w:cs="Arial"/>
          <w:color w:val="000000"/>
          <w:u w:val="single"/>
        </w:rPr>
      </w:pPr>
      <w:r>
        <w:rPr>
          <w:rFonts w:ascii="Arial" w:hAnsi="Arial" w:cs="Arial"/>
          <w:b/>
          <w:u w:val="single"/>
        </w:rPr>
        <w:t xml:space="preserve">5.20. </w:t>
      </w:r>
      <w:r>
        <w:rPr>
          <w:rFonts w:ascii="Arial" w:hAnsi="Arial" w:cs="Arial"/>
          <w:color w:val="000000"/>
          <w:u w:val="single"/>
        </w:rPr>
        <w:t xml:space="preserve">Responder por quaisquer danos causados diretamente a bens de propriedade da Contratante, quando ocasionados pelos empregados da Contratada durante o fornecimento dos produtos.</w:t>
      </w:r>
      <w:r>
        <w:rPr>
          <w:rFonts w:ascii="Arial" w:hAnsi="Arial" w:cs="Arial"/>
          <w:color w:val="000000"/>
          <w:u w:val="single"/>
        </w:rPr>
      </w:r>
    </w:p>
    <w:p w14:paraId="465B814C" w14:textId="77777777">
      <w:pPr>
        <w:pBdr/>
        <w:spacing/>
        <w:ind/>
        <w:jc w:val="both"/>
        <w:rPr>
          <w:rFonts w:ascii="Arial" w:hAnsi="Arial" w:eastAsia="Arial" w:cs="Arial"/>
          <w:b/>
          <w:u w:val="single"/>
        </w:rPr>
      </w:pPr>
      <w:r>
        <w:rPr>
          <w:rFonts w:ascii="Arial" w:hAnsi="Arial" w:eastAsia="Arial" w:cs="Arial"/>
          <w:b/>
          <w:u w:val="single"/>
        </w:rPr>
      </w:r>
      <w:r>
        <w:rPr>
          <w:rFonts w:ascii="Arial" w:hAnsi="Arial" w:eastAsia="Arial" w:cs="Arial"/>
          <w:b/>
          <w:u w:val="single"/>
        </w:rPr>
      </w:r>
    </w:p>
    <w:p w14:paraId="3F7C18A7" w14:textId="77777777">
      <w:pPr>
        <w:pBdr/>
        <w:spacing/>
        <w:ind/>
        <w:jc w:val="both"/>
        <w:rPr>
          <w:rFonts w:ascii="Arial" w:hAnsi="Arial" w:eastAsia="Arial" w:cs="Arial"/>
          <w:u w:val="single"/>
        </w:rPr>
      </w:pPr>
      <w:r>
        <w:rPr>
          <w:rFonts w:ascii="Arial" w:hAnsi="Arial" w:cs="Arial"/>
          <w:b/>
          <w:u w:val="single"/>
        </w:rPr>
        <w:t xml:space="preserve">5.21. </w:t>
      </w:r>
      <w:r>
        <w:rPr>
          <w:rFonts w:ascii="Arial" w:hAnsi="Arial" w:eastAsia="Arial" w:cs="Arial"/>
          <w:u w:val="single"/>
        </w:rPr>
        <w:t xml:space="preserve">Fornecer os equipamentos, sistemas e/ou serviços em pe</w:t>
      </w:r>
      <w:r>
        <w:rPr>
          <w:rFonts w:ascii="Arial" w:hAnsi="Arial" w:eastAsia="Arial" w:cs="Arial"/>
          <w:u w:val="single"/>
        </w:rPr>
        <w:t xml:space="preserve">rfeitas condições, novos, originais e devidamente embalados, acompanhados da respectiva nota fiscal e certificado de garantia do fabricante/fornecedor, em língua portuguesa, responsabilizando-se pela qualidade e conformidade com as especificações técnicas.</w:t>
      </w:r>
      <w:r>
        <w:rPr>
          <w:rFonts w:ascii="Arial" w:hAnsi="Arial" w:eastAsia="Arial" w:cs="Arial"/>
          <w:u w:val="single"/>
        </w:rPr>
      </w:r>
    </w:p>
    <w:p w14:paraId="16CA828E" w14:textId="77777777">
      <w:pPr>
        <w:pBdr/>
        <w:spacing/>
        <w:ind/>
        <w:jc w:val="both"/>
        <w:rPr>
          <w:rFonts w:ascii="Arial" w:hAnsi="Arial" w:eastAsia="Arial" w:cs="Arial"/>
          <w:u w:val="single"/>
        </w:rPr>
      </w:pPr>
      <w:r>
        <w:rPr>
          <w:rFonts w:ascii="Arial" w:hAnsi="Arial" w:eastAsia="Arial" w:cs="Arial"/>
          <w:u w:val="single"/>
        </w:rPr>
      </w:r>
      <w:r>
        <w:rPr>
          <w:rFonts w:ascii="Arial" w:hAnsi="Arial" w:eastAsia="Arial" w:cs="Arial"/>
          <w:u w:val="single"/>
        </w:rPr>
      </w:r>
    </w:p>
    <w:p w14:paraId="71FF4ACA" w14:textId="77777777">
      <w:pPr>
        <w:pBdr/>
        <w:tabs>
          <w:tab w:val="left" w:leader="none" w:pos="567"/>
        </w:tabs>
        <w:spacing/>
        <w:ind/>
        <w:jc w:val="both"/>
        <w:rPr>
          <w:rFonts w:ascii="Arial" w:hAnsi="Arial" w:cs="Arial"/>
          <w:u w:val="single"/>
        </w:rPr>
      </w:pPr>
      <w:r>
        <w:rPr>
          <w:rFonts w:ascii="Arial" w:hAnsi="Arial" w:cs="Arial"/>
          <w:b/>
          <w:u w:val="single"/>
        </w:rPr>
        <w:t xml:space="preserve">5.22. </w:t>
      </w:r>
      <w:r>
        <w:rPr>
          <w:rFonts w:ascii="Arial" w:hAnsi="Arial" w:cs="Arial"/>
          <w:u w:val="single"/>
        </w:rPr>
        <w:t xml:space="preserve">Receber e dar o tratamento adequado a denúncias de discriminação, violência e assédio no ambiente de trabalho. </w:t>
      </w:r>
      <w:r>
        <w:rPr>
          <w:rFonts w:ascii="Arial" w:hAnsi="Arial" w:cs="Arial"/>
          <w:u w:val="single"/>
        </w:rPr>
      </w:r>
    </w:p>
    <w:p w14:paraId="69E512FA" w14:textId="77777777">
      <w:pPr>
        <w:pBdr/>
        <w:tabs>
          <w:tab w:val="left" w:leader="none" w:pos="567"/>
        </w:tabs>
        <w:spacing/>
        <w:ind/>
        <w:jc w:val="both"/>
        <w:rPr>
          <w:rFonts w:ascii="Arial" w:hAnsi="Arial" w:cs="Arial"/>
          <w:u w:val="single"/>
        </w:rPr>
      </w:pPr>
      <w:r>
        <w:rPr>
          <w:rFonts w:ascii="Arial" w:hAnsi="Arial" w:cs="Arial"/>
          <w:u w:val="single"/>
        </w:rPr>
      </w:r>
      <w:r>
        <w:rPr>
          <w:rFonts w:ascii="Arial" w:hAnsi="Arial" w:cs="Arial"/>
          <w:u w:val="single"/>
        </w:rPr>
      </w:r>
    </w:p>
    <w:p w14:paraId="1415FABB" w14:textId="77777777">
      <w:pPr>
        <w:pBdr/>
        <w:tabs>
          <w:tab w:val="left" w:leader="none" w:pos="567"/>
        </w:tabs>
        <w:spacing/>
        <w:ind/>
        <w:jc w:val="both"/>
        <w:rPr>
          <w:rFonts w:ascii="Arial" w:hAnsi="Arial" w:cs="Arial"/>
          <w:u w:val="single"/>
        </w:rPr>
      </w:pPr>
      <w:r>
        <w:rPr>
          <w:rFonts w:ascii="Arial" w:hAnsi="Arial" w:cs="Arial"/>
          <w:b/>
          <w:u w:val="single"/>
        </w:rPr>
        <w:t xml:space="preserve">5.23. </w:t>
      </w:r>
      <w:r>
        <w:rPr>
          <w:rFonts w:ascii="Arial" w:hAnsi="Arial" w:cs="Arial"/>
          <w:u w:val="single"/>
        </w:rPr>
        <w:t xml:space="preserve">Cumprir, durante todo o período de execução do contrato, a reserva de cargos prevista em lei para pessoa com deficiência</w:t>
      </w:r>
      <w:r>
        <w:rPr>
          <w:rFonts w:ascii="Arial" w:hAnsi="Arial" w:cs="Arial"/>
          <w:u w:val="single"/>
        </w:rPr>
        <w:t xml:space="preserve"> ou para reabilitado da Previdência Social, bem como as regras de acessibilidade previstas na legislação, quando a contratada houver se beneficiado da preferência estabelecida pela Lei nº 13.146, de 2015 (art. 116 da Lei nº 14.133, de 1º de abril de 2021).</w:t>
      </w:r>
      <w:r>
        <w:rPr>
          <w:rFonts w:ascii="Arial" w:hAnsi="Arial" w:cs="Arial"/>
          <w:u w:val="single"/>
        </w:rPr>
      </w:r>
    </w:p>
    <w:p w14:paraId="2A409FB7" w14:textId="77777777">
      <w:pPr>
        <w:pBdr/>
        <w:tabs>
          <w:tab w:val="left" w:leader="none" w:pos="567"/>
        </w:tabs>
        <w:spacing/>
        <w:ind/>
        <w:jc w:val="both"/>
        <w:rPr>
          <w:rFonts w:ascii="Arial" w:hAnsi="Arial" w:cs="Arial"/>
          <w:u w:val="single"/>
        </w:rPr>
      </w:pPr>
      <w:r>
        <w:rPr>
          <w:rFonts w:ascii="Arial" w:hAnsi="Arial" w:cs="Arial"/>
          <w:u w:val="single"/>
        </w:rPr>
      </w:r>
      <w:r>
        <w:rPr>
          <w:rFonts w:ascii="Arial" w:hAnsi="Arial" w:cs="Arial"/>
          <w:u w:val="single"/>
        </w:rPr>
      </w:r>
    </w:p>
    <w:p w14:paraId="0C3C09C6" w14:textId="77777777">
      <w:pPr>
        <w:pBdr/>
        <w:tabs>
          <w:tab w:val="left" w:leader="none" w:pos="567"/>
        </w:tabs>
        <w:spacing/>
        <w:ind/>
        <w:jc w:val="both"/>
        <w:rPr>
          <w:rFonts w:ascii="Arial" w:hAnsi="Arial" w:cs="Arial"/>
          <w:u w:val="single"/>
        </w:rPr>
      </w:pPr>
      <w:r>
        <w:rPr>
          <w:rFonts w:ascii="Arial" w:hAnsi="Arial" w:cs="Arial"/>
          <w:b/>
          <w:u w:val="single"/>
        </w:rPr>
        <w:t xml:space="preserve">5.24. </w:t>
      </w:r>
      <w:r>
        <w:rPr>
          <w:rFonts w:ascii="Arial" w:hAnsi="Arial" w:cs="Arial"/>
          <w:u w:val="single"/>
        </w:rPr>
        <w:t xml:space="preserve">Fornecer a seus funcionários uniformes e equipamentos de proteção individual (EPIs) e coletiva adequados à execução do objeto e de acordo com as normas de segurança vigentes.</w:t>
      </w:r>
      <w:r>
        <w:rPr>
          <w:rFonts w:ascii="Arial" w:hAnsi="Arial" w:cs="Arial"/>
          <w:u w:val="single"/>
        </w:rPr>
      </w:r>
    </w:p>
    <w:p w14:paraId="764F9FAF" w14:textId="77777777">
      <w:pPr>
        <w:pBdr/>
        <w:tabs>
          <w:tab w:val="left" w:leader="none" w:pos="567"/>
        </w:tabs>
        <w:spacing/>
        <w:ind/>
        <w:jc w:val="both"/>
        <w:rPr>
          <w:rFonts w:ascii="Arial" w:hAnsi="Arial" w:cs="Arial"/>
        </w:rPr>
      </w:pPr>
      <w:r>
        <w:rPr>
          <w:rFonts w:ascii="Arial" w:hAnsi="Arial" w:cs="Arial"/>
        </w:rPr>
      </w:r>
      <w:r>
        <w:rPr>
          <w:rFonts w:ascii="Arial" w:hAnsi="Arial" w:cs="Arial"/>
        </w:rPr>
      </w:r>
    </w:p>
    <w:p w14:paraId="67ADE399" w14:textId="77777777">
      <w:pPr>
        <w:pBdr/>
        <w:spacing/>
        <w:ind/>
        <w:jc w:val="both"/>
        <w:rPr/>
      </w:pPr>
      <w:r/>
      <w:r/>
    </w:p>
    <w:p w14:paraId="15015B7F" w14:textId="77777777">
      <w:pPr>
        <w:pBdr/>
        <w:spacing/>
        <w:ind/>
        <w:jc w:val="both"/>
        <w:rPr>
          <w:rFonts w:ascii="Arial" w:hAnsi="Arial" w:cs="Arial"/>
        </w:rPr>
      </w:pPr>
      <w:r>
        <w:rPr>
          <w:rFonts w:ascii="Arial" w:hAnsi="Arial" w:cs="Arial"/>
          <w:b/>
        </w:rPr>
        <w:t xml:space="preserve">CLÁUSULA SEXTA – SUBCONTRATAÇÃO</w:t>
      </w:r>
      <w:r>
        <w:rPr>
          <w:rFonts w:ascii="Arial" w:hAnsi="Arial" w:cs="Arial"/>
        </w:rPr>
        <w:t xml:space="preserve"> </w:t>
      </w:r>
      <w:r>
        <w:rPr>
          <w:rFonts w:ascii="Arial" w:hAnsi="Arial" w:cs="Arial"/>
        </w:rPr>
      </w:r>
    </w:p>
    <w:p w14:paraId="701FD4BA" w14:textId="77777777">
      <w:pPr>
        <w:pBdr/>
        <w:spacing/>
        <w:ind/>
        <w:jc w:val="both"/>
        <w:rPr/>
      </w:pPr>
      <w:r/>
      <w:r/>
    </w:p>
    <w:p w14:paraId="1030C940" w14:textId="77777777">
      <w:pPr>
        <w:pBdr/>
        <w:spacing/>
        <w:ind/>
        <w:jc w:val="both"/>
        <w:rPr/>
      </w:pPr>
      <w:r>
        <w:rPr>
          <w:rFonts w:ascii="Arial" w:hAnsi="Arial" w:cs="Arial"/>
          <w:b/>
        </w:rPr>
        <w:t xml:space="preserve">6.1.</w:t>
      </w:r>
      <w:r>
        <w:rPr>
          <w:rFonts w:ascii="Arial" w:hAnsi="Arial" w:cs="Arial"/>
        </w:rPr>
        <w:t xml:space="preserve"> Com a finalidade de evitar duplicidade de informações, toda a documentação</w:t>
      </w:r>
      <w:r>
        <w:rPr>
          <w:rFonts w:ascii="Arial" w:hAnsi="Arial" w:cs="Arial"/>
        </w:rPr>
        <w:t xml:space="preserve"> relativa à SUBCONTRATAÇÃO ficará devidamente detalhada no Termo de Referência, que integra o presente edital como anexo, contemplando de forma clara e objetiva todas as informações, requisitos e exigências necessários ao atendimento das condições do item.</w:t>
      </w:r>
      <w:r/>
    </w:p>
    <w:p w14:paraId="3AA56275" w14:textId="77777777">
      <w:pPr>
        <w:pBdr/>
        <w:spacing/>
        <w:ind/>
        <w:jc w:val="both"/>
        <w:rPr>
          <w:rFonts w:ascii="Arial" w:hAnsi="Arial" w:cs="Arial"/>
        </w:rPr>
      </w:pPr>
      <w:r>
        <w:rPr>
          <w:rFonts w:ascii="Arial" w:hAnsi="Arial" w:cs="Arial"/>
        </w:rPr>
      </w:r>
      <w:r>
        <w:rPr>
          <w:rFonts w:ascii="Arial" w:hAnsi="Arial" w:cs="Arial"/>
        </w:rPr>
      </w:r>
    </w:p>
    <w:p w14:paraId="75BF03E8" w14:textId="77777777">
      <w:pPr>
        <w:pBdr/>
        <w:spacing/>
        <w:ind/>
        <w:jc w:val="both"/>
        <w:rPr/>
      </w:pPr>
      <w:r>
        <w:rPr>
          <w:rFonts w:ascii="Arial" w:hAnsi="Arial" w:cs="Arial"/>
          <w:b/>
          <w:color w:val="000000"/>
        </w:rPr>
        <w:t xml:space="preserve">CLÁUSULA SÉTIMA – DA EXECUÇÃO DO CONTRATO E DO RECEBIMENTO DOS PRODUTOS:</w:t>
      </w:r>
      <w:r/>
    </w:p>
    <w:p w14:paraId="3C05E094" w14:textId="77777777">
      <w:pPr>
        <w:pBdr/>
        <w:spacing/>
        <w:ind w:right="-5"/>
        <w:jc w:val="both"/>
        <w:rPr>
          <w:rFonts w:ascii="Arial" w:hAnsi="Arial" w:cs="Arial"/>
          <w:b/>
          <w:color w:val="000000"/>
        </w:rPr>
      </w:pPr>
      <w:r>
        <w:rPr>
          <w:rFonts w:ascii="Arial" w:hAnsi="Arial" w:cs="Arial"/>
          <w:b/>
          <w:color w:val="000000"/>
        </w:rPr>
      </w:r>
      <w:r>
        <w:rPr>
          <w:rFonts w:ascii="Arial" w:hAnsi="Arial" w:cs="Arial"/>
          <w:b/>
          <w:color w:val="000000"/>
        </w:rPr>
      </w:r>
    </w:p>
    <w:p w14:paraId="48856D00" w14:textId="77777777">
      <w:pPr>
        <w:pBdr/>
        <w:spacing/>
        <w:ind w:right="-5"/>
        <w:jc w:val="both"/>
        <w:rPr>
          <w:u w:val="single"/>
        </w:rPr>
      </w:pPr>
      <w:r>
        <w:rPr>
          <w:rStyle w:val="960"/>
          <w:rFonts w:ascii="Arial" w:hAnsi="Arial" w:cs="Arial"/>
          <w:b/>
          <w:u w:val="single"/>
        </w:rPr>
        <w:t xml:space="preserve">7.1.</w:t>
      </w:r>
      <w:r>
        <w:rPr>
          <w:rStyle w:val="960"/>
          <w:rFonts w:ascii="Arial" w:hAnsi="Arial" w:cs="Arial"/>
          <w:u w:val="single"/>
        </w:rPr>
        <w:t xml:space="preserve"> O contrato deverá ser executado fielmente pelas partes, de acordo com Cláusulas contratuais e as normas da Lei 14.133/21, respondendo cada uma pelas consequências de sua inexecução total ou parcial.</w:t>
      </w:r>
      <w:r>
        <w:rPr>
          <w:u w:val="single"/>
        </w:rPr>
      </w:r>
    </w:p>
    <w:p w14:paraId="41B36DAB" w14:textId="77777777">
      <w:pPr>
        <w:pBdr/>
        <w:spacing/>
        <w:ind w:right="-5"/>
        <w:jc w:val="both"/>
        <w:rPr>
          <w:rFonts w:ascii="Arial" w:hAnsi="Arial" w:cs="Arial"/>
          <w:b/>
          <w:u w:val="single"/>
        </w:rPr>
      </w:pPr>
      <w:r>
        <w:rPr>
          <w:rFonts w:ascii="Arial" w:hAnsi="Arial" w:cs="Arial"/>
          <w:b/>
          <w:u w:val="single"/>
        </w:rPr>
      </w:r>
      <w:r>
        <w:rPr>
          <w:rFonts w:ascii="Arial" w:hAnsi="Arial" w:cs="Arial"/>
          <w:b/>
          <w:u w:val="single"/>
        </w:rPr>
      </w:r>
    </w:p>
    <w:p w14:paraId="1B831CB4" w14:textId="77777777">
      <w:pPr>
        <w:pBdr/>
        <w:spacing/>
        <w:ind w:right="-5"/>
        <w:jc w:val="both"/>
        <w:rPr>
          <w:rFonts w:ascii="Arial" w:hAnsi="Arial" w:cs="Arial"/>
          <w:u w:val="single"/>
        </w:rPr>
      </w:pPr>
      <w:r>
        <w:rPr>
          <w:rFonts w:ascii="Arial" w:hAnsi="Arial" w:cs="Arial"/>
          <w:b/>
          <w:u w:val="single"/>
        </w:rPr>
        <w:t xml:space="preserve">7.2.</w:t>
      </w:r>
      <w:r>
        <w:rPr>
          <w:rFonts w:ascii="Arial" w:hAnsi="Arial" w:cs="Arial"/>
          <w:u w:val="single"/>
        </w:rPr>
        <w:t xml:space="preserve"> O recebimento do objeto deste contrato ocorrerá de acordo com as condições estabelecidas no Termo de Referência.</w:t>
      </w:r>
      <w:r>
        <w:rPr>
          <w:rFonts w:ascii="Arial" w:hAnsi="Arial" w:cs="Arial"/>
          <w:u w:val="single"/>
        </w:rPr>
      </w:r>
    </w:p>
    <w:p w14:paraId="0FF0E83B" w14:textId="77777777">
      <w:pPr>
        <w:pBdr/>
        <w:spacing/>
        <w:ind w:right="-5"/>
        <w:jc w:val="both"/>
        <w:rPr>
          <w:rFonts w:ascii="Arial" w:hAnsi="Arial" w:cs="Arial"/>
          <w:u w:val="single"/>
        </w:rPr>
      </w:pPr>
      <w:r>
        <w:rPr>
          <w:rFonts w:ascii="Arial" w:hAnsi="Arial" w:cs="Arial"/>
          <w:u w:val="single"/>
        </w:rPr>
      </w:r>
      <w:r>
        <w:rPr>
          <w:rFonts w:ascii="Arial" w:hAnsi="Arial" w:cs="Arial"/>
          <w:u w:val="single"/>
        </w:rPr>
      </w:r>
    </w:p>
    <w:p w14:paraId="2809D3CF" w14:textId="77777777">
      <w:pPr>
        <w:pBdr/>
        <w:spacing/>
        <w:ind/>
        <w:jc w:val="both"/>
        <w:rPr>
          <w:rFonts w:ascii="Arial" w:hAnsi="Arial" w:cs="Arial"/>
          <w:u w:val="single"/>
        </w:rPr>
      </w:pPr>
      <w:r>
        <w:rPr>
          <w:rFonts w:ascii="Arial" w:hAnsi="Arial" w:cs="Arial"/>
          <w:b/>
          <w:u w:val="single"/>
        </w:rPr>
        <w:t xml:space="preserve">7.2.1. </w:t>
      </w:r>
      <w:r>
        <w:rPr>
          <w:rFonts w:ascii="Arial" w:hAnsi="Arial" w:cs="Arial"/>
          <w:u w:val="single"/>
        </w:rPr>
        <w:t xml:space="preserve">O prazo máximo para entrega dos produtos e realização dos serviços constantes do objeto será de 4 (quatro) horas, contados a partir do recebimento pela CONTRATADA da NOTA DE EMPENHO devidamente assinada pela CONTRATANTE.</w:t>
      </w:r>
      <w:r>
        <w:rPr>
          <w:rFonts w:ascii="Arial" w:hAnsi="Arial" w:cs="Arial"/>
          <w:u w:val="single"/>
        </w:rPr>
      </w:r>
    </w:p>
    <w:p w14:paraId="1C0F84C4" w14:textId="77777777">
      <w:pPr>
        <w:pBdr/>
        <w:spacing/>
        <w:ind/>
        <w:jc w:val="both"/>
        <w:rPr>
          <w:rFonts w:ascii="Arial" w:hAnsi="Arial" w:cs="Arial"/>
        </w:rPr>
      </w:pPr>
      <w:r>
        <w:rPr>
          <w:rFonts w:ascii="Arial" w:hAnsi="Arial" w:cs="Arial"/>
        </w:rPr>
      </w:r>
      <w:r>
        <w:rPr>
          <w:rFonts w:ascii="Arial" w:hAnsi="Arial" w:cs="Arial"/>
        </w:rPr>
      </w:r>
    </w:p>
    <w:p w14:paraId="1A652181" w14:textId="77777777">
      <w:pPr>
        <w:pBdr/>
        <w:spacing/>
        <w:ind/>
        <w:jc w:val="both"/>
        <w:rPr>
          <w:rFonts w:ascii="Arial" w:hAnsi="Arial" w:cs="Arial"/>
        </w:rPr>
      </w:pPr>
      <w:r>
        <w:rPr>
          <w:rFonts w:ascii="Arial" w:hAnsi="Arial" w:cs="Arial"/>
          <w:b/>
        </w:rPr>
        <w:t xml:space="preserve">7.2.2.</w:t>
      </w:r>
      <w:r>
        <w:rPr>
          <w:rFonts w:ascii="Arial" w:hAnsi="Arial" w:cs="Arial"/>
        </w:rPr>
        <w:tab/>
        <w:t xml:space="preserve">O recebimento do produto será feito pela Secretaria Municipal promoção e assistência social</w:t>
      </w:r>
      <w:r>
        <w:rPr>
          <w:rFonts w:ascii="Arial" w:hAnsi="Arial" w:cs="Arial"/>
        </w:rPr>
        <w:t xml:space="preserve">, que verificará as especificações e a qualidade dos produtos adquiridos.</w:t>
      </w:r>
      <w:r>
        <w:rPr>
          <w:rFonts w:ascii="Arial" w:hAnsi="Arial" w:cs="Arial"/>
        </w:rPr>
      </w:r>
    </w:p>
    <w:p w14:paraId="34C32496" w14:textId="77777777">
      <w:pPr>
        <w:pBdr/>
        <w:spacing/>
        <w:ind/>
        <w:jc w:val="both"/>
        <w:rPr>
          <w:rFonts w:ascii="Arial" w:hAnsi="Arial" w:cs="Arial"/>
        </w:rPr>
      </w:pPr>
      <w:r>
        <w:rPr>
          <w:rFonts w:ascii="Arial" w:hAnsi="Arial" w:cs="Arial"/>
        </w:rPr>
      </w:r>
      <w:r>
        <w:rPr>
          <w:rFonts w:ascii="Arial" w:hAnsi="Arial" w:cs="Arial"/>
        </w:rPr>
      </w:r>
    </w:p>
    <w:p w14:paraId="3D5F5659" w14:textId="77777777">
      <w:pPr>
        <w:pBdr/>
        <w:spacing/>
        <w:ind/>
        <w:jc w:val="both"/>
        <w:rPr/>
      </w:pPr>
      <w:r>
        <w:rPr>
          <w:rStyle w:val="960"/>
          <w:rFonts w:ascii="Arial" w:hAnsi="Arial" w:cs="Arial"/>
          <w:b/>
        </w:rPr>
        <w:t xml:space="preserve">7.3.</w:t>
      </w:r>
      <w:r>
        <w:rPr>
          <w:rStyle w:val="960"/>
          <w:rFonts w:ascii="Arial" w:hAnsi="Arial" w:cs="Arial"/>
        </w:rPr>
        <w:t xml:space="preserve"> A solicitação dos produtos será feita pela </w:t>
      </w:r>
      <w:r>
        <w:rPr>
          <w:rStyle w:val="960"/>
          <w:rFonts w:ascii="Arial" w:hAnsi="Arial" w:cs="Arial"/>
          <w:b/>
        </w:rPr>
        <w:t xml:space="preserve">CONTRATANTE</w:t>
      </w:r>
      <w:r>
        <w:rPr>
          <w:rStyle w:val="960"/>
          <w:rFonts w:ascii="Arial" w:hAnsi="Arial" w:cs="Arial"/>
        </w:rPr>
        <w:t xml:space="preserve"> à </w:t>
      </w:r>
      <w:r>
        <w:rPr>
          <w:rStyle w:val="960"/>
          <w:rFonts w:ascii="Arial" w:hAnsi="Arial" w:cs="Arial"/>
          <w:b/>
        </w:rPr>
        <w:t xml:space="preserve">CONTRATADA</w:t>
      </w:r>
      <w:r>
        <w:rPr>
          <w:rStyle w:val="960"/>
          <w:rFonts w:ascii="Arial" w:hAnsi="Arial" w:cs="Arial"/>
        </w:rPr>
        <w:t xml:space="preserve">, após a assinatura deste Contrato, mediante Ordem de Fornecimento ou instrumento equivalente e de forma parcelada;</w:t>
      </w:r>
      <w:r/>
    </w:p>
    <w:p w14:paraId="0D807598" w14:textId="77777777">
      <w:pPr>
        <w:pBdr/>
        <w:spacing/>
        <w:ind w:right="-5"/>
        <w:jc w:val="both"/>
        <w:rPr>
          <w:rFonts w:ascii="Arial" w:hAnsi="Arial" w:cs="Arial"/>
        </w:rPr>
      </w:pPr>
      <w:r>
        <w:rPr>
          <w:rFonts w:ascii="Arial" w:hAnsi="Arial" w:cs="Arial"/>
        </w:rPr>
      </w:r>
      <w:r>
        <w:rPr>
          <w:rFonts w:ascii="Arial" w:hAnsi="Arial" w:cs="Arial"/>
        </w:rPr>
      </w:r>
    </w:p>
    <w:p w14:paraId="142BF2DB" w14:textId="77777777">
      <w:pPr>
        <w:pBdr/>
        <w:spacing/>
        <w:ind w:right="-5"/>
        <w:jc w:val="both"/>
        <w:rPr>
          <w:rStyle w:val="960"/>
          <w:rFonts w:ascii="Arial" w:hAnsi="Arial" w:cs="Arial"/>
        </w:rPr>
      </w:pPr>
      <w:r>
        <w:rPr>
          <w:rFonts w:ascii="Arial" w:hAnsi="Arial" w:cs="Arial"/>
          <w:b/>
        </w:rPr>
        <w:t xml:space="preserve">7.4.</w:t>
      </w:r>
      <w:r>
        <w:rPr>
          <w:rFonts w:ascii="Arial" w:hAnsi="Arial" w:cs="Arial"/>
        </w:rPr>
        <w:t xml:space="preserve"> O objeto licitado deverá ser entregue de acordo com as regras específicas fixadas no presente edital e seus anexos na Ordem de Fornecimento ou instrumento equivalente</w:t>
      </w:r>
      <w:r>
        <w:rPr>
          <w:rStyle w:val="960"/>
          <w:rFonts w:ascii="Arial" w:hAnsi="Arial" w:cs="Arial"/>
        </w:rPr>
        <w:t xml:space="preserve"> emitido pela Secretaria solicitante, </w:t>
      </w:r>
      <w:r>
        <w:rPr>
          <w:rFonts w:ascii="Arial" w:hAnsi="Arial" w:cs="Arial"/>
        </w:rPr>
        <w:t xml:space="preserve">de acordo termo de referência</w:t>
      </w:r>
      <w:r>
        <w:rPr>
          <w:rStyle w:val="960"/>
          <w:rFonts w:ascii="Arial" w:hAnsi="Arial" w:cs="Arial"/>
        </w:rPr>
        <w:t xml:space="preserve">; </w:t>
      </w:r>
      <w:r>
        <w:rPr>
          <w:rStyle w:val="960"/>
          <w:rFonts w:ascii="Arial" w:hAnsi="Arial" w:cs="Arial"/>
        </w:rPr>
      </w:r>
    </w:p>
    <w:p w14:paraId="75107C98" w14:textId="77777777">
      <w:pPr>
        <w:pBdr/>
        <w:spacing/>
        <w:ind w:right="-5"/>
        <w:jc w:val="both"/>
        <w:rPr>
          <w:rStyle w:val="960"/>
          <w:rFonts w:ascii="Arial" w:hAnsi="Arial" w:cs="Arial"/>
        </w:rPr>
      </w:pPr>
      <w:r>
        <w:rPr>
          <w:rFonts w:ascii="Arial" w:hAnsi="Arial" w:cs="Arial"/>
        </w:rPr>
      </w:r>
      <w:r>
        <w:rPr>
          <w:rStyle w:val="960"/>
          <w:rFonts w:ascii="Arial" w:hAnsi="Arial" w:cs="Arial"/>
        </w:rPr>
      </w:r>
    </w:p>
    <w:p w14:paraId="1488C689" w14:textId="77777777">
      <w:pPr>
        <w:pBdr/>
        <w:spacing/>
        <w:ind w:right="-5"/>
        <w:jc w:val="both"/>
        <w:rPr>
          <w:rStyle w:val="960"/>
          <w:rFonts w:ascii="Arial" w:hAnsi="Arial" w:cs="Arial"/>
          <w:u w:val="single"/>
        </w:rPr>
      </w:pPr>
      <w:r>
        <w:rPr>
          <w:rFonts w:ascii="Arial" w:hAnsi="Arial" w:cs="Arial"/>
          <w:b/>
          <w:u w:val="single"/>
        </w:rPr>
        <w:t xml:space="preserve">7.4.1.</w:t>
      </w:r>
      <w:r>
        <w:rPr>
          <w:rFonts w:ascii="Arial" w:hAnsi="Arial" w:cs="Arial"/>
          <w:u w:val="single"/>
        </w:rPr>
        <w:t xml:space="preserve"> A medição dos serviços e da entrega do objeto licitado será realizada com base nas Ordens de Serviço efetivamente atendidas. O cronograma de execução seguirá o termo de referência, sendo a medição e o pagamento condicionados à conferência do órgão.</w:t>
      </w:r>
      <w:r>
        <w:rPr>
          <w:rStyle w:val="960"/>
          <w:rFonts w:ascii="Arial" w:hAnsi="Arial" w:cs="Arial"/>
          <w:u w:val="single"/>
        </w:rPr>
      </w:r>
    </w:p>
    <w:p w14:paraId="5E353E39" w14:textId="77777777">
      <w:pPr>
        <w:pBdr/>
        <w:spacing/>
        <w:ind w:right="-5"/>
        <w:jc w:val="both"/>
        <w:rPr>
          <w:rFonts w:ascii="Arial" w:hAnsi="Arial" w:cs="Arial"/>
          <w:b/>
        </w:rPr>
      </w:pPr>
      <w:r>
        <w:rPr>
          <w:rFonts w:ascii="Arial" w:hAnsi="Arial" w:cs="Arial"/>
          <w:b/>
        </w:rPr>
      </w:r>
      <w:r>
        <w:rPr>
          <w:rFonts w:ascii="Arial" w:hAnsi="Arial" w:cs="Arial"/>
          <w:b/>
        </w:rPr>
      </w:r>
    </w:p>
    <w:p w14:paraId="3BA10359" w14:textId="77777777">
      <w:pPr>
        <w:pBdr/>
        <w:spacing/>
        <w:ind w:right="-5"/>
        <w:jc w:val="both"/>
        <w:rPr>
          <w:rFonts w:ascii="Arial" w:hAnsi="Arial" w:cs="Arial"/>
        </w:rPr>
      </w:pPr>
      <w:r>
        <w:rPr>
          <w:rStyle w:val="960"/>
          <w:rFonts w:ascii="Arial" w:hAnsi="Arial" w:cs="Arial"/>
          <w:b/>
        </w:rPr>
        <w:t xml:space="preserve">7.5.</w:t>
      </w:r>
      <w:r>
        <w:rPr>
          <w:rStyle w:val="960"/>
          <w:rFonts w:ascii="Arial" w:hAnsi="Arial" w:cs="Arial"/>
        </w:rPr>
        <w:t xml:space="preserve"> Forma de entrega do objeto: </w:t>
      </w:r>
      <w:r>
        <w:rPr>
          <w:rFonts w:ascii="Arial" w:hAnsi="Arial" w:cs="Arial"/>
        </w:rPr>
        <w:t xml:space="preserve">O objeto desta licitação refere-se a uma estimativa de fornecimento de XXXXXXXXXXXXXX por um período de 12 (doze) meses; assim, as entregas/ex</w:t>
      </w:r>
      <w:r>
        <w:rPr>
          <w:rFonts w:ascii="Arial" w:hAnsi="Arial" w:cs="Arial"/>
        </w:rPr>
        <w:t xml:space="preserve">ecução deverão ocorrer de forma parcial, de acordo com as quantidades estipuladas nos pedidos, através de ordem de fornecimento ou instrumento equivalente emitido pela contratante à contratada. O prazo de entrega após a solicitação deverá ocorrer em, até, </w:t>
      </w:r>
      <w:r>
        <w:rPr>
          <w:rFonts w:ascii="Arial" w:hAnsi="Arial" w:cs="Arial"/>
          <w:color w:val="000000"/>
        </w:rPr>
        <w:t xml:space="preserve">até 04 (quatro) horas após a ordem de serviço emitida pelo Fiscal de Contrato nomeado</w:t>
      </w:r>
      <w:r>
        <w:rPr>
          <w:rFonts w:ascii="Arial" w:hAnsi="Arial" w:cs="Arial"/>
        </w:rPr>
        <w:t xml:space="preserve">. (De acordo termo de referência).</w:t>
      </w:r>
      <w:r>
        <w:rPr>
          <w:rFonts w:ascii="Arial" w:hAnsi="Arial" w:cs="Arial"/>
        </w:rPr>
      </w:r>
    </w:p>
    <w:p w14:paraId="2B0A43BA" w14:textId="77777777">
      <w:pPr>
        <w:pBdr/>
        <w:spacing/>
        <w:ind w:right="-5"/>
        <w:jc w:val="both"/>
        <w:rPr>
          <w:rFonts w:ascii="Arial" w:hAnsi="Arial" w:cs="Arial"/>
          <w:b/>
        </w:rPr>
      </w:pPr>
      <w:r>
        <w:rPr>
          <w:rFonts w:ascii="Arial" w:hAnsi="Arial" w:cs="Arial"/>
          <w:b/>
        </w:rPr>
      </w:r>
      <w:r>
        <w:rPr>
          <w:rFonts w:ascii="Arial" w:hAnsi="Arial" w:cs="Arial"/>
          <w:b/>
        </w:rPr>
      </w:r>
    </w:p>
    <w:p w14:paraId="43D4FA9B" w14:textId="77777777">
      <w:pPr>
        <w:pBdr/>
        <w:spacing/>
        <w:ind/>
        <w:jc w:val="both"/>
        <w:rPr/>
      </w:pPr>
      <w:r>
        <w:rPr>
          <w:rFonts w:ascii="Arial" w:hAnsi="Arial" w:cs="Arial"/>
          <w:b/>
        </w:rPr>
        <w:t xml:space="preserve">7.5.1.</w:t>
      </w:r>
      <w:r>
        <w:rPr>
          <w:rFonts w:ascii="Arial" w:hAnsi="Arial" w:cs="Arial"/>
        </w:rPr>
        <w:t xml:space="preserve"> </w:t>
      </w:r>
      <w:r>
        <w:rPr>
          <w:rFonts w:ascii="Arial" w:hAnsi="Arial" w:cs="Arial"/>
          <w:b/>
        </w:rPr>
        <w:t xml:space="preserve">O prazo previsto no subitem 7.5 poderá ser prorrogado/alterado</w:t>
      </w:r>
      <w:r>
        <w:rPr>
          <w:rFonts w:ascii="Arial" w:hAnsi="Arial" w:cs="Arial"/>
        </w:rPr>
        <w:t xml:space="preserve">, por solicitação justificada do adjudicatário e aceita pela Administração.</w:t>
      </w:r>
      <w:r/>
    </w:p>
    <w:p w14:paraId="5C9EE373" w14:textId="77777777">
      <w:pPr>
        <w:pBdr/>
        <w:spacing/>
        <w:ind w:right="-5"/>
        <w:jc w:val="both"/>
        <w:rPr>
          <w:rFonts w:ascii="Arial" w:hAnsi="Arial" w:cs="Arial"/>
          <w:highlight w:val="yellow"/>
        </w:rPr>
      </w:pPr>
      <w:r>
        <w:rPr>
          <w:rFonts w:ascii="Arial" w:hAnsi="Arial" w:cs="Arial"/>
          <w:highlight w:val="yellow"/>
        </w:rPr>
      </w:r>
      <w:r>
        <w:rPr>
          <w:rFonts w:ascii="Arial" w:hAnsi="Arial" w:cs="Arial"/>
          <w:highlight w:val="yellow"/>
        </w:rPr>
      </w:r>
    </w:p>
    <w:p w14:paraId="56889622" w14:textId="77777777">
      <w:pPr>
        <w:pBdr/>
        <w:spacing/>
        <w:ind/>
        <w:jc w:val="both"/>
        <w:rPr/>
      </w:pPr>
      <w:r>
        <w:rPr>
          <w:rFonts w:ascii="Arial" w:hAnsi="Arial" w:cs="Arial"/>
          <w:b/>
        </w:rPr>
        <w:t xml:space="preserve">7.6.</w:t>
      </w:r>
      <w:r>
        <w:rPr>
          <w:rFonts w:ascii="Arial" w:hAnsi="Arial" w:cs="Arial"/>
        </w:rPr>
        <w:t xml:space="preserve"> </w:t>
      </w:r>
      <w:r>
        <w:rPr>
          <w:rStyle w:val="960"/>
          <w:rFonts w:ascii="Arial" w:hAnsi="Arial" w:cs="Arial"/>
        </w:rPr>
        <w:t xml:space="preserve">Local de entrega: </w:t>
      </w:r>
      <w:r>
        <w:rPr>
          <w:rFonts w:ascii="Arial" w:hAnsi="Arial" w:cs="Arial"/>
        </w:rPr>
        <w:t xml:space="preserve">Os produtos/execução será</w:t>
      </w:r>
      <w:r>
        <w:rPr>
          <w:rFonts w:ascii="Arial" w:hAnsi="Arial" w:cs="Arial"/>
        </w:rPr>
        <w:t xml:space="preserve"> de acordo o termo de referência.</w:t>
      </w:r>
      <w:r/>
    </w:p>
    <w:p w14:paraId="50F46AA5" w14:textId="77777777">
      <w:pPr>
        <w:pBdr/>
        <w:spacing/>
        <w:ind/>
        <w:jc w:val="both"/>
        <w:rPr>
          <w:rFonts w:ascii="Arial" w:hAnsi="Arial" w:cs="Arial"/>
        </w:rPr>
      </w:pPr>
      <w:r>
        <w:rPr>
          <w:rFonts w:ascii="Arial" w:hAnsi="Arial" w:cs="Arial"/>
        </w:rPr>
      </w:r>
      <w:r>
        <w:rPr>
          <w:rFonts w:ascii="Arial" w:hAnsi="Arial" w:cs="Arial"/>
        </w:rPr>
      </w:r>
    </w:p>
    <w:p w14:paraId="4BAC230B" w14:textId="77777777">
      <w:pPr>
        <w:pBdr/>
        <w:spacing/>
        <w:ind/>
        <w:jc w:val="both"/>
        <w:rPr/>
      </w:pPr>
      <w:r>
        <w:rPr>
          <w:rFonts w:ascii="Arial" w:hAnsi="Arial" w:cs="Arial"/>
          <w:b/>
        </w:rPr>
        <w:t xml:space="preserve">7.7.</w:t>
      </w:r>
      <w:r>
        <w:rPr>
          <w:rFonts w:ascii="Arial" w:hAnsi="Arial" w:cs="Arial"/>
        </w:rPr>
        <w:t xml:space="preserve"> Os produtos licitados serão recebidos </w:t>
      </w:r>
      <w:r>
        <w:rPr>
          <w:rFonts w:ascii="Arial" w:hAnsi="Arial" w:cs="Arial"/>
          <w:u w:val="single"/>
        </w:rPr>
        <w:t xml:space="preserve">provisoriamente</w:t>
      </w:r>
      <w:r>
        <w:rPr>
          <w:rFonts w:ascii="Arial" w:hAnsi="Arial" w:cs="Arial"/>
        </w:rPr>
        <w:t xml:space="preserve">, para posterior verificação da qualidade, quantidade, validade, </w:t>
      </w:r>
      <w:r>
        <w:rPr>
          <w:rFonts w:ascii="Arial" w:hAnsi="Arial" w:cs="Arial"/>
          <w:b/>
        </w:rPr>
        <w:t xml:space="preserve">conformidade com a especificação</w:t>
      </w:r>
      <w:r>
        <w:rPr>
          <w:rFonts w:ascii="Arial" w:hAnsi="Arial" w:cs="Arial"/>
        </w:rPr>
        <w:t xml:space="preserve"> solicitada e preço;</w:t>
      </w:r>
      <w:r/>
    </w:p>
    <w:p w14:paraId="25C93470" w14:textId="77777777">
      <w:pPr>
        <w:pBdr/>
        <w:spacing/>
        <w:ind/>
        <w:jc w:val="both"/>
        <w:rPr>
          <w:rFonts w:ascii="Arial" w:hAnsi="Arial" w:cs="Arial"/>
        </w:rPr>
      </w:pPr>
      <w:r>
        <w:rPr>
          <w:rFonts w:ascii="Arial" w:hAnsi="Arial" w:cs="Arial"/>
        </w:rPr>
      </w:r>
      <w:r>
        <w:rPr>
          <w:rFonts w:ascii="Arial" w:hAnsi="Arial" w:cs="Arial"/>
        </w:rPr>
      </w:r>
    </w:p>
    <w:p w14:paraId="32ED858E" w14:textId="77777777">
      <w:pPr>
        <w:pBdr/>
        <w:spacing/>
        <w:ind/>
        <w:jc w:val="both"/>
        <w:rPr/>
      </w:pPr>
      <w:r>
        <w:rPr>
          <w:rFonts w:ascii="Arial" w:hAnsi="Arial" w:cs="Arial"/>
          <w:b/>
        </w:rPr>
        <w:t xml:space="preserve">7.8.</w:t>
      </w:r>
      <w:r>
        <w:rPr>
          <w:rFonts w:ascii="Arial" w:hAnsi="Arial" w:cs="Arial"/>
        </w:rPr>
        <w:t xml:space="preserve"> A aceitação </w:t>
      </w:r>
      <w:r>
        <w:rPr>
          <w:rFonts w:ascii="Arial" w:hAnsi="Arial" w:cs="Arial"/>
          <w:u w:val="single"/>
        </w:rPr>
        <w:t xml:space="preserve">definitiva</w:t>
      </w:r>
      <w:r>
        <w:rPr>
          <w:rFonts w:ascii="Arial" w:hAnsi="Arial" w:cs="Arial"/>
        </w:rPr>
        <w:t xml:space="preserve"> dar-se-á em até 15 (quinze) dias úteis, após recebimento provisório, quando a Nota Fiscal será atestada por servidor/comissão devidamente credenciado para este fim e liberado o canhoto de recebimento;</w:t>
      </w:r>
      <w:r/>
    </w:p>
    <w:p w14:paraId="5D295C65" w14:textId="77777777">
      <w:pPr>
        <w:pBdr/>
        <w:spacing/>
        <w:ind/>
        <w:jc w:val="both"/>
        <w:rPr>
          <w:rFonts w:ascii="Arial" w:hAnsi="Arial" w:cs="Arial"/>
          <w:b/>
        </w:rPr>
      </w:pPr>
      <w:r>
        <w:rPr>
          <w:rFonts w:ascii="Arial" w:hAnsi="Arial" w:cs="Arial"/>
          <w:b/>
        </w:rPr>
      </w:r>
      <w:r>
        <w:rPr>
          <w:rFonts w:ascii="Arial" w:hAnsi="Arial" w:cs="Arial"/>
          <w:b/>
        </w:rPr>
      </w:r>
    </w:p>
    <w:p w14:paraId="16CA774B" w14:textId="77777777">
      <w:pPr>
        <w:pBdr/>
        <w:spacing/>
        <w:ind/>
        <w:jc w:val="both"/>
        <w:rPr>
          <w:rFonts w:ascii="Arial" w:hAnsi="Arial" w:cs="Arial"/>
          <w:b/>
        </w:rPr>
      </w:pPr>
      <w:r>
        <w:rPr>
          <w:rFonts w:ascii="Arial" w:hAnsi="Arial" w:cs="Arial"/>
          <w:b/>
        </w:rPr>
        <w:t xml:space="preserve">7.9. O aceite/aprovação do (s) produto (s) pela (s) Secretaria (s) solicitante (s) não exclui a responsabilidade civil do forne</w:t>
      </w:r>
      <w:r>
        <w:rPr>
          <w:rFonts w:ascii="Arial" w:hAnsi="Arial" w:cs="Arial"/>
          <w:b/>
        </w:rPr>
        <w:t xml:space="preserve">cedor por vícios de quantidade ou qualidade do(s) produto(s) ou disparidades com as especificações estabelecidas no Anexo Itens do Pregão, verificadas, posteriormente, garantindo-se ao órgão licitante as faculdades previstas no art. 18 da Lei n.º 8.078/90;</w:t>
      </w:r>
      <w:r>
        <w:rPr>
          <w:rFonts w:ascii="Arial" w:hAnsi="Arial" w:cs="Arial"/>
          <w:b/>
        </w:rPr>
      </w:r>
    </w:p>
    <w:p w14:paraId="704F4199" w14:textId="77777777">
      <w:pPr>
        <w:pBdr/>
        <w:spacing/>
        <w:ind/>
        <w:jc w:val="both"/>
        <w:rPr/>
      </w:pPr>
      <w:r/>
      <w:r/>
    </w:p>
    <w:p w14:paraId="2B94841E" w14:textId="77777777">
      <w:pPr>
        <w:pBdr/>
        <w:spacing/>
        <w:ind/>
        <w:jc w:val="both"/>
        <w:rPr>
          <w:rFonts w:ascii="Arial" w:hAnsi="Arial" w:cs="Arial"/>
        </w:rPr>
      </w:pPr>
      <w:r>
        <w:rPr>
          <w:rFonts w:ascii="Arial" w:hAnsi="Arial" w:cs="Arial"/>
        </w:rPr>
      </w:r>
      <w:r>
        <w:rPr>
          <w:rFonts w:ascii="Arial" w:hAnsi="Arial" w:cs="Arial"/>
        </w:rPr>
      </w:r>
    </w:p>
    <w:p w14:paraId="7B9D3E59" w14:textId="77777777">
      <w:pPr>
        <w:pBdr/>
        <w:spacing/>
        <w:ind/>
        <w:jc w:val="both"/>
        <w:rPr/>
      </w:pPr>
      <w:r>
        <w:rPr>
          <w:rFonts w:ascii="Arial" w:hAnsi="Arial" w:cs="Arial"/>
          <w:b/>
        </w:rPr>
        <w:t xml:space="preserve">7.10.</w:t>
      </w:r>
      <w:r>
        <w:rPr>
          <w:rFonts w:ascii="Arial" w:hAnsi="Arial" w:cs="Arial"/>
        </w:rPr>
        <w:t xml:space="preserve"> Não será admitida a entrega dos materiais pela Contratada sem que esta esteja de posse da Ordem de Fornecimento ou instrumento equivalente.</w:t>
      </w:r>
      <w:r/>
    </w:p>
    <w:p w14:paraId="5A6DD929" w14:textId="77777777">
      <w:pPr>
        <w:pBdr/>
        <w:spacing/>
        <w:ind/>
        <w:rPr>
          <w:rFonts w:ascii="Arial" w:hAnsi="Arial" w:cs="Arial"/>
        </w:rPr>
      </w:pPr>
      <w:r>
        <w:rPr>
          <w:rFonts w:ascii="Arial" w:hAnsi="Arial" w:cs="Arial"/>
        </w:rPr>
      </w:r>
      <w:r>
        <w:rPr>
          <w:rFonts w:ascii="Arial" w:hAnsi="Arial" w:cs="Arial"/>
        </w:rPr>
      </w:r>
    </w:p>
    <w:p w14:paraId="4330EB69" w14:textId="77777777">
      <w:pPr>
        <w:pBdr/>
        <w:spacing/>
        <w:ind w:right="-5"/>
        <w:jc w:val="both"/>
        <w:rPr/>
      </w:pPr>
      <w:r>
        <w:rPr>
          <w:rFonts w:ascii="Arial" w:hAnsi="Arial" w:cs="Arial"/>
          <w:b/>
        </w:rPr>
        <w:t xml:space="preserve">7.11.</w:t>
      </w:r>
      <w:r>
        <w:rPr>
          <w:rFonts w:ascii="Arial" w:hAnsi="Arial" w:cs="Arial"/>
        </w:rPr>
        <w:t xml:space="preserve"> Constatadas irregularidades nas entregas do objeto contratual, o Órgão Licitante poderá: </w:t>
      </w:r>
      <w:r/>
    </w:p>
    <w:p w14:paraId="46C3FC1A" w14:textId="77777777">
      <w:pPr>
        <w:pBdr/>
        <w:spacing/>
        <w:ind w:right="-5" w:left="426"/>
        <w:jc w:val="both"/>
        <w:rPr>
          <w:rFonts w:ascii="Arial" w:hAnsi="Arial" w:cs="Arial"/>
          <w:b/>
        </w:rPr>
      </w:pPr>
      <w:r>
        <w:rPr>
          <w:rFonts w:ascii="Arial" w:hAnsi="Arial" w:cs="Arial"/>
          <w:b/>
        </w:rPr>
      </w:r>
      <w:r>
        <w:rPr>
          <w:rFonts w:ascii="Arial" w:hAnsi="Arial" w:cs="Arial"/>
          <w:b/>
        </w:rPr>
      </w:r>
    </w:p>
    <w:p w14:paraId="67AB4CEE" w14:textId="77777777">
      <w:pPr>
        <w:pBdr/>
        <w:spacing/>
        <w:ind w:right="-5" w:left="426"/>
        <w:jc w:val="both"/>
        <w:rPr/>
      </w:pPr>
      <w:r>
        <w:rPr>
          <w:rFonts w:ascii="Arial" w:hAnsi="Arial" w:cs="Arial"/>
          <w:b/>
        </w:rPr>
        <w:t xml:space="preserve">7.11.1.</w:t>
      </w:r>
      <w:r>
        <w:rPr>
          <w:rFonts w:ascii="Arial" w:hAnsi="Arial" w:cs="Arial"/>
        </w:rPr>
        <w:t xml:space="preserve"> Em relação à especificação técnicas, rejeitá-lo no todo ou em parte, determinando sua substituição, ou rescindindo a contratação, sem prejuízo das penalidades cabíveis; </w:t>
      </w:r>
      <w:r/>
    </w:p>
    <w:p w14:paraId="31B33E59" w14:textId="77777777">
      <w:pPr>
        <w:pStyle w:val="1030"/>
        <w:pBdr/>
        <w:spacing w:after="0"/>
        <w:ind/>
        <w:jc w:val="both"/>
        <w:rPr>
          <w:rFonts w:ascii="Arial" w:hAnsi="Arial" w:cs="Arial"/>
          <w:b/>
        </w:rPr>
      </w:pPr>
      <w:r>
        <w:rPr>
          <w:rFonts w:ascii="Arial" w:hAnsi="Arial" w:cs="Arial"/>
          <w:b/>
        </w:rPr>
      </w:r>
      <w:r>
        <w:rPr>
          <w:rFonts w:ascii="Arial" w:hAnsi="Arial" w:cs="Arial"/>
          <w:b/>
        </w:rPr>
      </w:r>
    </w:p>
    <w:p w14:paraId="446BA7C9" w14:textId="77777777">
      <w:pPr>
        <w:pBdr/>
        <w:spacing/>
        <w:ind/>
        <w:jc w:val="both"/>
        <w:rPr>
          <w:rFonts w:ascii="Arial" w:hAnsi="Arial" w:cs="Arial"/>
        </w:rPr>
      </w:pPr>
      <w:r>
        <w:rPr>
          <w:rFonts w:ascii="Arial" w:hAnsi="Arial" w:cs="Arial"/>
          <w:b/>
        </w:rPr>
        <w:t xml:space="preserve">7.12.</w:t>
      </w:r>
      <w:r>
        <w:rPr>
          <w:rFonts w:ascii="Arial" w:hAnsi="Arial" w:cs="Arial"/>
        </w:rPr>
        <w:t xml:space="preserve"> Os produtos ou serviços que forem recusados (tanto no recebimento provisório ou antes do recebimento definitivo) deverão ser substituídos imediatamente, contados da data de notificação apresentada à fornecedora, </w:t>
      </w:r>
      <w:r>
        <w:rPr>
          <w:rFonts w:ascii="Arial" w:hAnsi="Arial" w:cs="Arial"/>
        </w:rPr>
        <w:t xml:space="preserve">salvo quando justificado a necessidade de prazo maior pela licitante/contratada, devendo este ser acatado pela Secretaria solicitante, sem qualquer ônus para o Município.</w:t>
      </w:r>
      <w:r>
        <w:rPr>
          <w:rFonts w:ascii="Arial" w:hAnsi="Arial" w:cs="Arial"/>
        </w:rPr>
      </w:r>
    </w:p>
    <w:p w14:paraId="7110A07C" w14:textId="77777777">
      <w:pPr>
        <w:pBdr/>
        <w:spacing/>
        <w:ind/>
        <w:jc w:val="both"/>
        <w:rPr/>
      </w:pPr>
      <w:r/>
      <w:r/>
    </w:p>
    <w:p w14:paraId="25E9A66A" w14:textId="77777777">
      <w:pPr>
        <w:pBdr/>
        <w:spacing/>
        <w:ind w:right="-5"/>
        <w:jc w:val="both"/>
        <w:rPr/>
      </w:pPr>
      <w:r>
        <w:rPr>
          <w:rStyle w:val="960"/>
          <w:rFonts w:ascii="Arial" w:hAnsi="Arial" w:eastAsia="Calibri" w:cs="Arial"/>
          <w:b/>
        </w:rPr>
        <w:t xml:space="preserve">CLÁUSULA OITAVA – DAS OBRIGAÇÕES DA CONTRATANTE:</w:t>
      </w:r>
      <w:r/>
    </w:p>
    <w:p w14:paraId="0FA2039B" w14:textId="77777777">
      <w:pPr>
        <w:pBdr/>
        <w:spacing/>
        <w:ind w:right="-5"/>
        <w:jc w:val="both"/>
        <w:rPr/>
      </w:pPr>
      <w:r/>
      <w:r/>
    </w:p>
    <w:p w14:paraId="557115A4" w14:textId="77777777">
      <w:pPr>
        <w:pBdr/>
        <w:spacing/>
        <w:ind w:right="-5"/>
        <w:jc w:val="both"/>
        <w:rPr/>
      </w:pPr>
      <w:r>
        <w:rPr>
          <w:rStyle w:val="960"/>
          <w:rFonts w:ascii="Arial" w:hAnsi="Arial" w:eastAsia="Calibri" w:cs="Arial"/>
          <w:b/>
        </w:rPr>
        <w:t xml:space="preserve">8.1.</w:t>
      </w:r>
      <w:r>
        <w:rPr>
          <w:rStyle w:val="960"/>
          <w:rFonts w:ascii="Arial" w:hAnsi="Arial" w:eastAsia="Calibri" w:cs="Arial"/>
        </w:rPr>
        <w:t xml:space="preserve"> Constituem obrigações da </w:t>
      </w:r>
      <w:r>
        <w:rPr>
          <w:rStyle w:val="960"/>
          <w:rFonts w:ascii="Arial" w:hAnsi="Arial" w:eastAsia="Calibri" w:cs="Arial"/>
          <w:b/>
        </w:rPr>
        <w:t xml:space="preserve">CONTRATANTE</w:t>
      </w:r>
      <w:r>
        <w:rPr>
          <w:rStyle w:val="960"/>
          <w:rFonts w:ascii="Arial" w:hAnsi="Arial" w:eastAsia="Calibri" w:cs="Arial"/>
        </w:rPr>
        <w:t xml:space="preserve">: </w:t>
      </w:r>
      <w:r/>
    </w:p>
    <w:p w14:paraId="6E582797" w14:textId="77777777">
      <w:pPr>
        <w:pBdr/>
        <w:spacing/>
        <w:ind w:right="-5"/>
        <w:jc w:val="both"/>
        <w:rPr/>
      </w:pPr>
      <w:r/>
      <w:r/>
    </w:p>
    <w:p w14:paraId="46F3C517" w14:textId="77777777">
      <w:pPr>
        <w:pBdr/>
        <w:spacing/>
        <w:ind w:right="-5"/>
        <w:jc w:val="both"/>
        <w:rPr/>
      </w:pPr>
      <w:r>
        <w:rPr>
          <w:rStyle w:val="960"/>
          <w:rFonts w:ascii="Arial" w:hAnsi="Arial" w:eastAsia="Calibri" w:cs="Arial"/>
          <w:b/>
        </w:rPr>
        <w:t xml:space="preserve">8.2.</w:t>
      </w:r>
      <w:r>
        <w:rPr>
          <w:rStyle w:val="960"/>
          <w:rFonts w:ascii="Arial" w:hAnsi="Arial" w:eastAsia="Calibri" w:cs="Arial"/>
        </w:rPr>
        <w:t xml:space="preserve"> Cumprir todos os compromissos financeiros assumidos com a contratada, efetuando os pagamentos de acordo com a Cláusula Décima deste Contrato.</w:t>
      </w:r>
      <w:r/>
    </w:p>
    <w:p w14:paraId="10DCD94D" w14:textId="77777777">
      <w:pPr>
        <w:pBdr/>
        <w:spacing/>
        <w:ind w:right="-5"/>
        <w:jc w:val="both"/>
        <w:rPr/>
      </w:pPr>
      <w:r/>
      <w:r/>
    </w:p>
    <w:p w14:paraId="03891F91" w14:textId="77777777">
      <w:pPr>
        <w:pBdr/>
        <w:spacing/>
        <w:ind w:right="-5"/>
        <w:jc w:val="both"/>
        <w:rPr/>
      </w:pPr>
      <w:r>
        <w:rPr>
          <w:rStyle w:val="960"/>
          <w:rFonts w:ascii="Arial" w:hAnsi="Arial" w:eastAsia="Calibri" w:cs="Arial"/>
          <w:b/>
        </w:rPr>
        <w:t xml:space="preserve">8.3.</w:t>
      </w:r>
      <w:r>
        <w:rPr>
          <w:rStyle w:val="960"/>
          <w:rFonts w:ascii="Arial" w:hAnsi="Arial" w:eastAsia="Calibri" w:cs="Arial"/>
        </w:rPr>
        <w:t xml:space="preserve"> Fornecer e colocar à disposição da </w:t>
      </w:r>
      <w:r>
        <w:rPr>
          <w:rStyle w:val="960"/>
          <w:rFonts w:ascii="Arial" w:hAnsi="Arial" w:eastAsia="Calibri" w:cs="Arial"/>
          <w:b/>
        </w:rPr>
        <w:t xml:space="preserve">CONTRATADA</w:t>
      </w:r>
      <w:r>
        <w:rPr>
          <w:rStyle w:val="960"/>
          <w:rFonts w:ascii="Arial" w:hAnsi="Arial" w:eastAsia="Calibri" w:cs="Arial"/>
        </w:rPr>
        <w:t xml:space="preserve"> todos os elementos e informações que se fizerem necessários ao efetivo cumprimento do objeto contratado. </w:t>
      </w:r>
      <w:r/>
    </w:p>
    <w:p w14:paraId="3E8CA0D1" w14:textId="77777777">
      <w:pPr>
        <w:pBdr/>
        <w:spacing/>
        <w:ind w:right="-5"/>
        <w:jc w:val="both"/>
        <w:rPr/>
      </w:pPr>
      <w:r/>
      <w:r/>
    </w:p>
    <w:p w14:paraId="34025309" w14:textId="77777777">
      <w:pPr>
        <w:pBdr/>
        <w:spacing/>
        <w:ind w:right="-5"/>
        <w:jc w:val="both"/>
        <w:rPr/>
      </w:pPr>
      <w:r>
        <w:rPr>
          <w:rStyle w:val="960"/>
          <w:rFonts w:ascii="Arial" w:hAnsi="Arial" w:eastAsia="Calibri" w:cs="Arial"/>
          <w:b/>
        </w:rPr>
        <w:t xml:space="preserve">8.4.</w:t>
      </w:r>
      <w:r>
        <w:rPr>
          <w:rStyle w:val="960"/>
          <w:rFonts w:ascii="Arial" w:hAnsi="Arial" w:eastAsia="Calibri" w:cs="Arial"/>
        </w:rPr>
        <w:t xml:space="preserve"> Notificar, formal e tempestivamente, a contratada sobre as irregularidades observadas no cumprimento do objeto.</w:t>
      </w:r>
      <w:r/>
    </w:p>
    <w:p w14:paraId="58384354" w14:textId="77777777">
      <w:pPr>
        <w:pBdr/>
        <w:spacing/>
        <w:ind w:right="-5"/>
        <w:jc w:val="both"/>
        <w:rPr/>
      </w:pPr>
      <w:r/>
      <w:r/>
    </w:p>
    <w:p w14:paraId="017BDD2A" w14:textId="77777777">
      <w:pPr>
        <w:pBdr/>
        <w:spacing/>
        <w:ind w:right="-5"/>
        <w:jc w:val="both"/>
        <w:rPr/>
      </w:pPr>
      <w:r>
        <w:rPr>
          <w:rStyle w:val="960"/>
          <w:rFonts w:ascii="Arial" w:hAnsi="Arial" w:eastAsia="Calibri" w:cs="Arial"/>
          <w:b/>
        </w:rPr>
        <w:t xml:space="preserve">8.5.</w:t>
      </w:r>
      <w:r>
        <w:rPr>
          <w:rStyle w:val="960"/>
          <w:rFonts w:ascii="Arial" w:hAnsi="Arial" w:eastAsia="Calibri" w:cs="Arial"/>
        </w:rPr>
        <w:t xml:space="preserve"> Notificar a contratada, por escrito e com antecedência, sobre multas, penalidades e quaisquer débitos de sua responsabilidade. </w:t>
      </w:r>
      <w:r/>
    </w:p>
    <w:p w14:paraId="07E03A1A" w14:textId="77777777">
      <w:pPr>
        <w:pBdr/>
        <w:spacing/>
        <w:ind w:right="-5"/>
        <w:jc w:val="both"/>
        <w:rPr/>
      </w:pPr>
      <w:r/>
      <w:r/>
    </w:p>
    <w:p w14:paraId="4021A082" w14:textId="77777777">
      <w:pPr>
        <w:pBdr/>
        <w:spacing/>
        <w:ind w:right="-5"/>
        <w:jc w:val="both"/>
        <w:rPr/>
      </w:pPr>
      <w:r>
        <w:rPr>
          <w:rStyle w:val="960"/>
          <w:rFonts w:ascii="Arial" w:hAnsi="Arial" w:eastAsia="Calibri" w:cs="Arial"/>
          <w:b/>
        </w:rPr>
        <w:t xml:space="preserve">8.6.</w:t>
      </w:r>
      <w:r>
        <w:rPr>
          <w:rStyle w:val="960"/>
          <w:rFonts w:ascii="Arial" w:hAnsi="Arial" w:eastAsia="Calibri" w:cs="Arial"/>
        </w:rPr>
        <w:t xml:space="preserve"> Acompanhar a entrega dos itens licitados pela contratada, podendo intervir durante a sua entrega, para fins de ajustes ou suspensão do fornecimento. </w:t>
      </w:r>
      <w:r/>
    </w:p>
    <w:p w14:paraId="65176EE2" w14:textId="77777777">
      <w:pPr>
        <w:pBdr/>
        <w:spacing/>
        <w:ind/>
        <w:jc w:val="both"/>
        <w:rPr/>
      </w:pPr>
      <w:r/>
      <w:r/>
    </w:p>
    <w:p w14:paraId="4F05B98E" w14:textId="77777777">
      <w:pPr>
        <w:pBdr/>
        <w:spacing/>
        <w:ind/>
        <w:jc w:val="both"/>
        <w:rPr/>
      </w:pPr>
      <w:r>
        <w:rPr>
          <w:rFonts w:ascii="Arial" w:hAnsi="Arial" w:cs="Arial"/>
          <w:b/>
        </w:rPr>
        <w:t xml:space="preserve">8.7.</w:t>
      </w:r>
      <w:r>
        <w:rPr>
          <w:rFonts w:ascii="Arial" w:hAnsi="Arial" w:cs="Arial"/>
        </w:rPr>
        <w:t xml:space="preserve"> Fiscalizar a execução do objeto contratual através de sua unidade compe</w:t>
      </w:r>
      <w:r>
        <w:rPr>
          <w:rFonts w:ascii="Arial" w:hAnsi="Arial" w:cs="Arial"/>
        </w:rPr>
        <w:t xml:space="preserve">tente que designará um representante para esse fim fiscal do contrato, podendo, em decorrência, solicitar providências da contratada, que atenderá ou justificará de imediato, e de tudo dará ciência à Administração, conforme art. 117 da Lei nº 14.133/2021. </w:t>
      </w:r>
      <w:r/>
    </w:p>
    <w:p w14:paraId="29AC542E" w14:textId="77777777">
      <w:pPr>
        <w:pBdr/>
        <w:tabs>
          <w:tab w:val="left" w:leader="none" w:pos="1800"/>
        </w:tabs>
        <w:spacing/>
        <w:ind/>
        <w:jc w:val="both"/>
        <w:rPr/>
      </w:pPr>
      <w:r>
        <w:rPr>
          <w:rFonts w:ascii="Arial" w:hAnsi="Arial" w:cs="Arial"/>
        </w:rPr>
        <w:tab/>
      </w:r>
      <w:r/>
    </w:p>
    <w:p w14:paraId="53262926" w14:textId="77777777">
      <w:pPr>
        <w:pBdr/>
        <w:spacing/>
        <w:ind/>
        <w:jc w:val="both"/>
        <w:rPr/>
      </w:pPr>
      <w:r>
        <w:rPr>
          <w:rFonts w:ascii="Arial" w:hAnsi="Arial" w:cs="Arial"/>
          <w:b/>
        </w:rPr>
        <w:t xml:space="preserve">8.7.1. </w:t>
      </w:r>
      <w:r>
        <w:rPr>
          <w:rFonts w:ascii="Arial" w:hAnsi="Arial" w:cs="Arial"/>
        </w:rPr>
        <w:t xml:space="preserve">O gestor do contrato (secretário da pasta solicitante da demanda) deverá nomear, via Portaria Interna e publicar no DIORONDON, o servidor responsável pelo acompan</w:t>
      </w:r>
      <w:r>
        <w:rPr>
          <w:rFonts w:ascii="Arial" w:hAnsi="Arial" w:cs="Arial"/>
        </w:rPr>
        <w:t xml:space="preserve">hamento e fiscalização da execução do objeto contrato, bem como, o pagamento da nota fiscal referente à entrega do produto realizado pelo contratado será condicionado à apresentação do relatório do Fiscal do contrato. (conf. Recomendação Técnica nº21/2014)</w:t>
      </w:r>
      <w:r/>
    </w:p>
    <w:p w14:paraId="7A0578BC"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3EF5ADA5" w14:textId="77777777">
      <w:pPr>
        <w:pBdr/>
        <w:spacing/>
        <w:ind/>
        <w:jc w:val="both"/>
        <w:rPr/>
      </w:pPr>
      <w:r>
        <w:rPr>
          <w:rFonts w:ascii="Arial" w:hAnsi="Arial" w:cs="Arial"/>
          <w:b/>
        </w:rPr>
        <w:t xml:space="preserve">8.8.</w:t>
      </w:r>
      <w:r>
        <w:rPr>
          <w:rFonts w:ascii="Arial" w:hAnsi="Arial" w:cs="Arial"/>
        </w:rPr>
        <w:t xml:space="preserve"> A fiscalização de que trata o subitem acima não exclui nem reduz a responsabilidade da contratada pelos danos causados diretamente à contratante ou a terceiros, decorrentes de sua culpa ou dolo na execução da contratação.</w:t>
      </w:r>
      <w:r/>
    </w:p>
    <w:p w14:paraId="72137BC3" w14:textId="77777777">
      <w:pPr>
        <w:pBdr/>
        <w:spacing/>
        <w:ind w:right="-5"/>
        <w:jc w:val="both"/>
        <w:rPr>
          <w:rFonts w:ascii="Arial" w:hAnsi="Arial" w:cs="Arial"/>
        </w:rPr>
      </w:pPr>
      <w:r>
        <w:rPr>
          <w:rFonts w:ascii="Arial" w:hAnsi="Arial" w:cs="Arial"/>
        </w:rPr>
      </w:r>
      <w:r>
        <w:rPr>
          <w:rFonts w:ascii="Arial" w:hAnsi="Arial" w:cs="Arial"/>
        </w:rPr>
      </w:r>
    </w:p>
    <w:p w14:paraId="707FEC76" w14:textId="77777777">
      <w:pPr>
        <w:pBdr/>
        <w:spacing/>
        <w:ind/>
        <w:jc w:val="both"/>
        <w:rPr/>
      </w:pPr>
      <w:r>
        <w:rPr>
          <w:rFonts w:ascii="Arial" w:hAnsi="Arial" w:cs="Arial"/>
          <w:b/>
          <w:bCs/>
        </w:rPr>
        <w:t xml:space="preserve">8.9.</w:t>
      </w:r>
      <w:r>
        <w:rPr>
          <w:rFonts w:ascii="Arial" w:hAnsi="Arial" w:cs="Arial"/>
          <w:bCs/>
        </w:rPr>
        <w:t xml:space="preserve">  </w:t>
      </w:r>
      <w:r>
        <w:rPr>
          <w:rFonts w:ascii="Arial" w:hAnsi="Arial" w:cs="Arial"/>
        </w:rPr>
        <w:t xml:space="preserve">Aplicar as sanções administrativas contratuais pertinentes, em caso de inadimplemento; </w:t>
      </w:r>
      <w:r/>
    </w:p>
    <w:p w14:paraId="769F582F" w14:textId="77777777">
      <w:pPr>
        <w:pBdr/>
        <w:spacing/>
        <w:ind/>
        <w:jc w:val="both"/>
        <w:rPr>
          <w:rFonts w:ascii="Arial" w:hAnsi="Arial" w:cs="Arial"/>
        </w:rPr>
      </w:pPr>
      <w:r>
        <w:rPr>
          <w:rFonts w:ascii="Arial" w:hAnsi="Arial" w:cs="Arial"/>
        </w:rPr>
      </w:r>
      <w:r>
        <w:rPr>
          <w:rFonts w:ascii="Arial" w:hAnsi="Arial" w:cs="Arial"/>
        </w:rPr>
      </w:r>
    </w:p>
    <w:p w14:paraId="5A0703E0" w14:textId="77777777">
      <w:pPr>
        <w:pBdr/>
        <w:spacing/>
        <w:ind w:right="-5"/>
        <w:jc w:val="both"/>
        <w:rPr/>
      </w:pPr>
      <w:r>
        <w:rPr>
          <w:rFonts w:ascii="Arial" w:hAnsi="Arial" w:cs="Arial"/>
          <w:b/>
        </w:rPr>
        <w:t xml:space="preserve">8.10. </w:t>
      </w:r>
      <w:r>
        <w:rPr>
          <w:rFonts w:ascii="Arial" w:hAnsi="Arial" w:cs="Arial"/>
        </w:rPr>
        <w:t xml:space="preserve"> Rejeitar, no todo ou em parte, os materiais/serviços entregues em desacordo com o contrato; </w:t>
      </w:r>
      <w:r/>
    </w:p>
    <w:p w14:paraId="5A2C8B81" w14:textId="77777777">
      <w:pPr>
        <w:pBdr/>
        <w:spacing/>
        <w:ind w:right="-5"/>
        <w:jc w:val="both"/>
        <w:rPr>
          <w:rFonts w:ascii="Arial" w:hAnsi="Arial" w:cs="Arial"/>
          <w:b/>
        </w:rPr>
      </w:pPr>
      <w:r>
        <w:rPr>
          <w:rFonts w:ascii="Arial" w:hAnsi="Arial" w:cs="Arial"/>
          <w:b/>
        </w:rPr>
      </w:r>
      <w:r>
        <w:rPr>
          <w:rFonts w:ascii="Arial" w:hAnsi="Arial" w:cs="Arial"/>
          <w:b/>
        </w:rPr>
      </w:r>
    </w:p>
    <w:p w14:paraId="79F0B99D" w14:textId="77777777">
      <w:pPr>
        <w:pBdr/>
        <w:spacing/>
        <w:ind/>
        <w:jc w:val="both"/>
        <w:rPr/>
      </w:pPr>
      <w:r>
        <w:rPr>
          <w:rStyle w:val="960"/>
          <w:rFonts w:ascii="Arial" w:hAnsi="Arial" w:eastAsia="Calibri" w:cs="Arial"/>
          <w:b/>
        </w:rPr>
        <w:t xml:space="preserve">CLÁUSULA NONA – DA DOTAÇÃO ORÇAMENTÁRIA: </w:t>
      </w:r>
      <w:r/>
    </w:p>
    <w:p w14:paraId="230DAF80" w14:textId="77777777">
      <w:pPr>
        <w:pBdr/>
        <w:spacing/>
        <w:ind/>
        <w:jc w:val="both"/>
        <w:rPr/>
      </w:pPr>
      <w:r/>
      <w:r/>
    </w:p>
    <w:p w14:paraId="5F1297E4" w14:textId="77777777">
      <w:pPr>
        <w:pBdr/>
        <w:spacing/>
        <w:ind/>
        <w:rPr/>
      </w:pPr>
      <w:r>
        <w:rPr>
          <w:rFonts w:ascii="Arial" w:hAnsi="Arial" w:cs="Arial"/>
          <w:b/>
        </w:rPr>
        <w:t xml:space="preserve">9.1.</w:t>
      </w:r>
      <w:r>
        <w:rPr>
          <w:rFonts w:ascii="Arial" w:hAnsi="Arial" w:cs="Arial"/>
        </w:rPr>
        <w:t xml:space="preserve"> As despesas decorrentes da presente contratação correrão à conta de recursos específicos consignados no Orçamento deste exercício:</w:t>
      </w:r>
      <w:r/>
    </w:p>
    <w:p w14:paraId="6759F039" w14:textId="77777777">
      <w:pPr>
        <w:pBdr/>
        <w:spacing/>
        <w:ind/>
        <w:rPr>
          <w:rFonts w:ascii="Arial" w:hAnsi="Arial" w:cs="Arial"/>
          <w:lang w:eastAsia="pt-BR"/>
        </w:rPr>
      </w:pPr>
      <w:r>
        <w:rPr>
          <w:rFonts w:ascii="Arial" w:hAnsi="Arial" w:cs="Arial"/>
          <w:lang w:eastAsia="pt-BR"/>
        </w:rPr>
      </w:r>
      <w:r>
        <w:rPr>
          <w:rFonts w:ascii="Arial" w:hAnsi="Arial" w:cs="Arial"/>
          <w:lang w:eastAsia="pt-BR"/>
        </w:rPr>
      </w:r>
    </w:p>
    <w:p w14:paraId="0061B837" w14:textId="77777777">
      <w:pPr>
        <w:pBdr/>
        <w:tabs>
          <w:tab w:val="left" w:leader="none" w:pos="1170"/>
        </w:tabs>
        <w:spacing/>
        <w:ind/>
        <w:jc w:val="center"/>
        <w:rPr>
          <w:rFonts w:ascii="Arial" w:hAnsi="Arial" w:cs="Arial"/>
          <w:b/>
          <w:bCs/>
          <w:sz w:val="16"/>
          <w:szCs w:val="16"/>
        </w:rPr>
      </w:pPr>
      <w:r>
        <w:rPr>
          <w:rFonts w:ascii="Arial" w:hAnsi="Arial" w:cs="Arial"/>
          <w:b/>
          <w:bCs/>
          <w:sz w:val="16"/>
          <w:szCs w:val="16"/>
        </w:rPr>
      </w:r>
      <w:r>
        <w:rPr>
          <w:rFonts w:ascii="Arial" w:hAnsi="Arial" w:cs="Arial"/>
          <w:b/>
          <w:bCs/>
          <w:sz w:val="16"/>
          <w:szCs w:val="16"/>
        </w:rPr>
      </w:r>
    </w:p>
    <w:tbl>
      <w:tblPr>
        <w:tblInd w:w="-201" w:type="dxa"/>
        <w:tblW w:w="10119" w:type="dxa"/>
        <w:tblCellMar>
          <w:left w:w="55" w:type="dxa"/>
          <w:top w:w="55" w:type="dxa"/>
          <w:right w:w="55" w:type="dxa"/>
          <w:bottom w:w="55" w:type="dxa"/>
        </w:tblCellMar>
        <w:tblBorders/>
        <w:tblLayout w:type="fixed"/>
        <w:tblLook w:val="04A0" w:firstRow="1" w:lastRow="0" w:firstColumn="1" w:lastColumn="0" w:noHBand="0" w:noVBand="1"/>
      </w:tblPr>
      <w:tblGrid>
        <w:gridCol w:w="2386"/>
        <w:gridCol w:w="7733"/>
      </w:tblGrid>
      <w:tr>
        <w:trPr/>
        <w:tc>
          <w:tcPr>
            <w:tcBorders>
              <w:top w:val="single" w:color="000000" w:sz="4" w:space="0"/>
              <w:left w:val="single" w:color="000000" w:sz="4" w:space="0"/>
              <w:bottom w:val="single" w:color="000000" w:sz="4" w:space="0"/>
              <w:right w:val="single" w:color="000000" w:sz="4" w:space="0"/>
            </w:tcBorders>
            <w:tcW w:w="2386" w:type="dxa"/>
            <w:vAlign w:val="center"/>
            <w:textDirection w:val="lrTb"/>
            <w:noWrap w:val="false"/>
          </w:tcPr>
          <w:p w14:paraId="3FE4D2F9" w14:textId="77777777">
            <w:pPr>
              <w:pBdr/>
              <w:spacing/>
              <w:ind/>
              <w:rPr/>
            </w:pPr>
            <w:r>
              <w:t xml:space="preserve">Órgão:</w:t>
            </w:r>
            <w:r/>
          </w:p>
        </w:tc>
        <w:tc>
          <w:tcPr>
            <w:tcBorders>
              <w:top w:val="single" w:color="000000" w:sz="4" w:space="0"/>
              <w:left w:val="single" w:color="000000" w:sz="4" w:space="0"/>
              <w:bottom w:val="single" w:color="000000" w:sz="4" w:space="0"/>
              <w:right w:val="single" w:color="000000" w:sz="4" w:space="0"/>
            </w:tcBorders>
            <w:tcW w:w="7733" w:type="dxa"/>
            <w:vAlign w:val="center"/>
            <w:textDirection w:val="lrTb"/>
            <w:noWrap w:val="false"/>
          </w:tcPr>
          <w:p w14:paraId="487E6EC1" w14:textId="77777777">
            <w:pPr>
              <w:pBdr/>
              <w:spacing/>
              <w:ind/>
              <w:rPr/>
            </w:pPr>
            <w:r>
              <w:t xml:space="preserve">02-PREFEITURA MUNICIPAL RONDONOPOLIS</w:t>
            </w:r>
            <w:r/>
          </w:p>
        </w:tc>
      </w:tr>
      <w:tr>
        <w:trPr/>
        <w:tc>
          <w:tcPr>
            <w:tcBorders>
              <w:top w:val="single" w:color="000000" w:sz="4" w:space="0"/>
              <w:left w:val="single" w:color="000000" w:sz="4" w:space="0"/>
              <w:bottom w:val="single" w:color="000000" w:sz="4" w:space="0"/>
              <w:right w:val="single" w:color="000000" w:sz="4" w:space="0"/>
            </w:tcBorders>
            <w:tcW w:w="2386" w:type="dxa"/>
            <w:vAlign w:val="center"/>
            <w:textDirection w:val="lrTb"/>
            <w:noWrap w:val="false"/>
          </w:tcPr>
          <w:p w14:paraId="7F7B43CD" w14:textId="77777777">
            <w:pPr>
              <w:pBdr/>
              <w:spacing/>
              <w:ind/>
              <w:rPr/>
            </w:pPr>
            <w:r>
              <w:t xml:space="preserve">Unidade:</w:t>
            </w:r>
            <w:r/>
          </w:p>
        </w:tc>
        <w:tc>
          <w:tcPr>
            <w:tcBorders>
              <w:top w:val="single" w:color="000000" w:sz="4" w:space="0"/>
              <w:left w:val="single" w:color="000000" w:sz="4" w:space="0"/>
              <w:bottom w:val="single" w:color="000000" w:sz="4" w:space="0"/>
              <w:right w:val="single" w:color="000000" w:sz="4" w:space="0"/>
            </w:tcBorders>
            <w:tcW w:w="7733" w:type="dxa"/>
            <w:vAlign w:val="center"/>
            <w:textDirection w:val="lrTb"/>
            <w:noWrap w:val="false"/>
          </w:tcPr>
          <w:p w14:paraId="36E51D17" w14:textId="77777777">
            <w:pPr>
              <w:pBdr/>
              <w:spacing/>
              <w:ind/>
              <w:rPr/>
            </w:pPr>
            <w:r>
              <w:t xml:space="preserve">13-FUNDO MUNICIPAL DE ASSISTÊNCIA SOCIAL</w:t>
            </w:r>
            <w:r/>
          </w:p>
        </w:tc>
      </w:tr>
      <w:tr>
        <w:trPr/>
        <w:tc>
          <w:tcPr>
            <w:tcBorders>
              <w:top w:val="single" w:color="000000" w:sz="4" w:space="0"/>
              <w:left w:val="single" w:color="000000" w:sz="4" w:space="0"/>
              <w:bottom w:val="single" w:color="000000" w:sz="4" w:space="0"/>
              <w:right w:val="single" w:color="000000" w:sz="4" w:space="0"/>
            </w:tcBorders>
            <w:tcW w:w="2386" w:type="dxa"/>
            <w:vAlign w:val="center"/>
            <w:textDirection w:val="lrTb"/>
            <w:noWrap w:val="false"/>
          </w:tcPr>
          <w:p w14:paraId="3A955EE0" w14:textId="77777777">
            <w:pPr>
              <w:pBdr/>
              <w:spacing/>
              <w:ind/>
              <w:rPr/>
            </w:pPr>
            <w:r>
              <w:t xml:space="preserve">Funcional Programática:</w:t>
            </w:r>
            <w:r/>
          </w:p>
        </w:tc>
        <w:tc>
          <w:tcPr>
            <w:tcBorders>
              <w:top w:val="single" w:color="000000" w:sz="4" w:space="0"/>
              <w:left w:val="single" w:color="000000" w:sz="4" w:space="0"/>
              <w:bottom w:val="single" w:color="000000" w:sz="4" w:space="0"/>
              <w:right w:val="single" w:color="000000" w:sz="4" w:space="0"/>
            </w:tcBorders>
            <w:tcW w:w="7733" w:type="dxa"/>
            <w:vAlign w:val="center"/>
            <w:textDirection w:val="lrTb"/>
            <w:noWrap w:val="false"/>
          </w:tcPr>
          <w:p w14:paraId="0F659A0F" w14:textId="77777777">
            <w:pPr>
              <w:pBdr/>
              <w:spacing/>
              <w:ind/>
              <w:jc w:val="both"/>
              <w:rPr/>
            </w:pPr>
            <w:r>
              <w:t xml:space="preserve">08.244.2207.2255-SERVIÇOS DE PROTEÇÃO SOCIAL BÁSICA (CRAS, EQ. VOLANTE, SCFV)</w:t>
            </w:r>
            <w:r/>
          </w:p>
        </w:tc>
      </w:tr>
      <w:tr>
        <w:trPr/>
        <w:tc>
          <w:tcPr>
            <w:tcBorders>
              <w:top w:val="single" w:color="000000" w:sz="4" w:space="0"/>
              <w:left w:val="single" w:color="000000" w:sz="4" w:space="0"/>
              <w:bottom w:val="single" w:color="000000" w:sz="4" w:space="0"/>
              <w:right w:val="single" w:color="000000" w:sz="4" w:space="0"/>
            </w:tcBorders>
            <w:tcW w:w="2386" w:type="dxa"/>
            <w:vAlign w:val="center"/>
            <w:textDirection w:val="lrTb"/>
            <w:noWrap w:val="false"/>
          </w:tcPr>
          <w:p w14:paraId="2846FB28" w14:textId="77777777">
            <w:pPr>
              <w:pBdr/>
              <w:spacing/>
              <w:ind/>
              <w:rPr/>
            </w:pPr>
            <w:r>
              <w:t xml:space="preserve">Elemento de Despesa:</w:t>
            </w:r>
            <w:r/>
          </w:p>
        </w:tc>
        <w:tc>
          <w:tcPr>
            <w:tcBorders>
              <w:top w:val="single" w:color="000000" w:sz="4" w:space="0"/>
              <w:left w:val="single" w:color="000000" w:sz="4" w:space="0"/>
              <w:bottom w:val="single" w:color="000000" w:sz="4" w:space="0"/>
              <w:right w:val="single" w:color="000000" w:sz="4" w:space="0"/>
            </w:tcBorders>
            <w:tcW w:w="7733" w:type="dxa"/>
            <w:vAlign w:val="center"/>
            <w:textDirection w:val="lrTb"/>
            <w:noWrap w:val="false"/>
          </w:tcPr>
          <w:p w14:paraId="461E019A" w14:textId="77777777">
            <w:pPr>
              <w:pBdr/>
              <w:spacing/>
              <w:ind/>
              <w:rPr/>
            </w:pPr>
            <w:r>
              <w:t xml:space="preserve">3.3.90.39 - Outros Serviços de Terceiros - Pessoa Jurídica</w:t>
            </w:r>
            <w:r/>
          </w:p>
        </w:tc>
      </w:tr>
      <w:tr>
        <w:trPr/>
        <w:tc>
          <w:tcPr>
            <w:tcBorders>
              <w:top w:val="single" w:color="000000" w:sz="4" w:space="0"/>
              <w:left w:val="single" w:color="000000" w:sz="4" w:space="0"/>
              <w:bottom w:val="single" w:color="000000" w:sz="4" w:space="0"/>
              <w:right w:val="single" w:color="000000" w:sz="4" w:space="0"/>
            </w:tcBorders>
            <w:tcW w:w="2386" w:type="dxa"/>
            <w:vAlign w:val="center"/>
            <w:textDirection w:val="lrTb"/>
            <w:noWrap w:val="false"/>
          </w:tcPr>
          <w:p w14:paraId="3E8C9FE2" w14:textId="77777777">
            <w:pPr>
              <w:pBdr/>
              <w:spacing/>
              <w:ind/>
              <w:rPr/>
            </w:pPr>
            <w:r>
              <w:t xml:space="preserve">Reduzido:</w:t>
            </w:r>
            <w:r/>
          </w:p>
        </w:tc>
        <w:tc>
          <w:tcPr>
            <w:tcBorders>
              <w:top w:val="single" w:color="000000" w:sz="4" w:space="0"/>
              <w:left w:val="single" w:color="000000" w:sz="4" w:space="0"/>
              <w:bottom w:val="single" w:color="000000" w:sz="4" w:space="0"/>
              <w:right w:val="single" w:color="000000" w:sz="4" w:space="0"/>
            </w:tcBorders>
            <w:tcW w:w="7733" w:type="dxa"/>
            <w:vAlign w:val="center"/>
            <w:textDirection w:val="lrTb"/>
            <w:noWrap w:val="false"/>
          </w:tcPr>
          <w:p w14:paraId="33DE78D8" w14:textId="77777777">
            <w:pPr>
              <w:pBdr/>
              <w:spacing/>
              <w:ind/>
              <w:rPr/>
            </w:pPr>
            <w:r>
              <w:t xml:space="preserve">377</w:t>
            </w:r>
            <w:r/>
          </w:p>
        </w:tc>
      </w:tr>
      <w:tr>
        <w:trPr/>
        <w:tc>
          <w:tcPr>
            <w:tcBorders>
              <w:top w:val="single" w:color="000000" w:sz="4" w:space="0"/>
              <w:left w:val="single" w:color="000000" w:sz="4" w:space="0"/>
              <w:bottom w:val="single" w:color="000000" w:sz="4" w:space="0"/>
              <w:right w:val="single" w:color="000000" w:sz="4" w:space="0"/>
            </w:tcBorders>
            <w:tcW w:w="2386" w:type="dxa"/>
            <w:vAlign w:val="center"/>
            <w:textDirection w:val="lrTb"/>
            <w:noWrap w:val="false"/>
          </w:tcPr>
          <w:p w14:paraId="2F626C29" w14:textId="77777777">
            <w:pPr>
              <w:pBdr/>
              <w:spacing/>
              <w:ind/>
              <w:rPr/>
            </w:pPr>
            <w:r>
              <w:t xml:space="preserve">Fonte de Recurso:</w:t>
            </w:r>
            <w:r/>
          </w:p>
        </w:tc>
        <w:tc>
          <w:tcPr>
            <w:tcBorders>
              <w:top w:val="single" w:color="000000" w:sz="4" w:space="0"/>
              <w:left w:val="single" w:color="000000" w:sz="4" w:space="0"/>
              <w:bottom w:val="single" w:color="000000" w:sz="4" w:space="0"/>
              <w:right w:val="single" w:color="000000" w:sz="4" w:space="0"/>
            </w:tcBorders>
            <w:tcW w:w="7733" w:type="dxa"/>
            <w:vAlign w:val="center"/>
            <w:textDirection w:val="lrTb"/>
            <w:noWrap w:val="false"/>
          </w:tcPr>
          <w:p w14:paraId="6DDC24B4" w14:textId="77777777">
            <w:pPr>
              <w:pBdr/>
              <w:spacing/>
              <w:ind/>
              <w:rPr/>
            </w:pPr>
            <w:r>
              <w:t xml:space="preserve">1.500.0000000</w:t>
            </w:r>
            <w:r/>
          </w:p>
        </w:tc>
      </w:tr>
    </w:tbl>
    <w:p w14:paraId="0881DAA2" w14:textId="77777777">
      <w:pPr>
        <w:pBdr/>
        <w:spacing/>
        <w:ind/>
        <w:rPr>
          <w:rFonts w:ascii="Arial" w:hAnsi="Arial" w:cs="Arial"/>
          <w:sz w:val="16"/>
          <w:szCs w:val="16"/>
        </w:rPr>
      </w:pPr>
      <w:r>
        <w:rPr>
          <w:rFonts w:ascii="Arial" w:hAnsi="Arial" w:cs="Arial"/>
          <w:sz w:val="16"/>
          <w:szCs w:val="16"/>
        </w:rPr>
      </w:r>
      <w:r>
        <w:rPr>
          <w:rFonts w:ascii="Arial" w:hAnsi="Arial" w:cs="Arial"/>
          <w:sz w:val="16"/>
          <w:szCs w:val="16"/>
        </w:rPr>
      </w:r>
    </w:p>
    <w:p w14:paraId="78AD25A8" w14:textId="77777777">
      <w:pPr>
        <w:pBdr/>
        <w:spacing/>
        <w:ind/>
        <w:rPr>
          <w:rFonts w:ascii="Arial" w:hAnsi="Arial" w:cs="Arial"/>
          <w:sz w:val="16"/>
          <w:szCs w:val="16"/>
        </w:rPr>
      </w:pPr>
      <w:r>
        <w:rPr>
          <w:rFonts w:ascii="Arial" w:hAnsi="Arial" w:cs="Arial"/>
          <w:sz w:val="16"/>
          <w:szCs w:val="16"/>
        </w:rPr>
      </w:r>
      <w:r>
        <w:rPr>
          <w:rFonts w:ascii="Arial" w:hAnsi="Arial" w:cs="Arial"/>
          <w:sz w:val="16"/>
          <w:szCs w:val="16"/>
        </w:rPr>
      </w:r>
    </w:p>
    <w:p w14:paraId="258A8FB3" w14:textId="77777777">
      <w:pPr>
        <w:pBdr/>
        <w:spacing/>
        <w:ind w:right="-5"/>
        <w:rPr/>
      </w:pPr>
      <w:r>
        <w:rPr>
          <w:rFonts w:ascii="Arial" w:hAnsi="Arial" w:cs="Arial"/>
          <w:b/>
        </w:rPr>
        <w:t xml:space="preserve">CLÁUSULA DÉCIMA - DO VALOR E DAS CONDIÇÕES DE PAGAMENTO:</w:t>
      </w:r>
      <w:r/>
    </w:p>
    <w:p w14:paraId="4FB78EA2" w14:textId="77777777">
      <w:pPr>
        <w:pBdr/>
        <w:spacing/>
        <w:ind w:right="-5"/>
        <w:rPr/>
      </w:pPr>
      <w:r/>
      <w:r/>
    </w:p>
    <w:p w14:paraId="4FE7B711" w14:textId="77777777">
      <w:pPr>
        <w:pBdr/>
        <w:spacing/>
        <w:ind w:right="-5"/>
        <w:jc w:val="both"/>
        <w:rPr/>
      </w:pPr>
      <w:r>
        <w:rPr>
          <w:rFonts w:ascii="Arial" w:hAnsi="Arial" w:cs="Arial"/>
          <w:b/>
        </w:rPr>
        <w:t xml:space="preserve">10.1.</w:t>
      </w:r>
      <w:r>
        <w:rPr>
          <w:rFonts w:ascii="Arial" w:hAnsi="Arial" w:cs="Arial"/>
        </w:rPr>
        <w:t xml:space="preserve"> O valor global do presente Contrato é de </w:t>
      </w:r>
      <w:r>
        <w:rPr>
          <w:rFonts w:ascii="Arial" w:hAnsi="Arial" w:cs="Arial"/>
          <w:b/>
        </w:rPr>
        <w:t xml:space="preserve">R$ XXXXXX (..........................................), </w:t>
      </w:r>
      <w:r>
        <w:rPr>
          <w:rFonts w:ascii="Arial" w:hAnsi="Arial" w:cs="Arial"/>
        </w:rPr>
        <w:t xml:space="preserve">de acordo com a Proposta Comercial da Contratada, a serem pagos, mediante apresentação de nota fiscal, na Tesouraria desta Prefeitura;</w:t>
      </w:r>
      <w:r/>
    </w:p>
    <w:p w14:paraId="0766D554" w14:textId="77777777">
      <w:pPr>
        <w:pBdr/>
        <w:spacing/>
        <w:ind w:right="-5"/>
        <w:jc w:val="both"/>
        <w:rPr>
          <w:rFonts w:ascii="Arial" w:hAnsi="Arial" w:cs="Arial"/>
        </w:rPr>
      </w:pPr>
      <w:r>
        <w:rPr>
          <w:rFonts w:ascii="Arial" w:hAnsi="Arial" w:cs="Arial"/>
        </w:rPr>
      </w:r>
      <w:r>
        <w:rPr>
          <w:rFonts w:ascii="Arial" w:hAnsi="Arial" w:cs="Arial"/>
        </w:rPr>
      </w:r>
    </w:p>
    <w:p w14:paraId="0F12BC4E" w14:textId="77777777">
      <w:pPr>
        <w:pBdr/>
        <w:spacing/>
        <w:ind w:right="-5"/>
        <w:jc w:val="both"/>
        <w:rPr/>
      </w:pPr>
      <w:r>
        <w:rPr>
          <w:rStyle w:val="960"/>
          <w:rFonts w:ascii="Arial" w:hAnsi="Arial" w:eastAsia="Calibri" w:cs="Arial"/>
          <w:b/>
        </w:rPr>
        <w:t xml:space="preserve">10.2.</w:t>
      </w:r>
      <w:r>
        <w:rPr>
          <w:rStyle w:val="960"/>
          <w:rFonts w:ascii="Arial" w:hAnsi="Arial" w:eastAsia="Calibri" w:cs="Arial"/>
        </w:rPr>
        <w:t xml:space="preserve"> Nos preços supracitados estão incluídas todas as despesas relativas ao objeto contratado (tributos, seguros, encargos sociais, etc.). </w:t>
      </w:r>
      <w:r/>
    </w:p>
    <w:p w14:paraId="5CCEA612" w14:textId="77777777">
      <w:pPr>
        <w:pBdr/>
        <w:spacing/>
        <w:ind w:right="-5"/>
        <w:jc w:val="both"/>
        <w:rPr/>
      </w:pPr>
      <w:r/>
      <w:r/>
    </w:p>
    <w:p w14:paraId="7EC5E10B" w14:textId="77777777">
      <w:pPr>
        <w:pBdr/>
        <w:spacing/>
        <w:ind/>
        <w:jc w:val="both"/>
        <w:rPr/>
      </w:pPr>
      <w:r>
        <w:rPr>
          <w:rFonts w:ascii="Arial" w:hAnsi="Arial" w:cs="Arial"/>
          <w:b/>
        </w:rPr>
        <w:t xml:space="preserve">10.3.</w:t>
      </w:r>
      <w:r>
        <w:rPr>
          <w:rFonts w:ascii="Arial" w:hAnsi="Arial" w:cs="Arial"/>
        </w:rPr>
        <w:t xml:space="preserve"> O pagamento será efetuado mediante ordem bancária emitida em favor da empresa contratada, após o recebimento definitivo dos materiais, até </w:t>
      </w:r>
      <w:r>
        <w:rPr>
          <w:rStyle w:val="960"/>
          <w:rFonts w:ascii="Arial" w:hAnsi="Arial" w:eastAsia="Calibri" w:cs="Arial"/>
        </w:rPr>
        <w:t xml:space="preserve">o 30º (trigésimo) dia</w:t>
      </w:r>
      <w:r>
        <w:rPr>
          <w:rFonts w:ascii="Arial" w:hAnsi="Arial" w:cs="Arial"/>
        </w:rPr>
        <w:t xml:space="preserve">, contados a partir da data de entrega da Nota Fiscal (ELETRÔNICA), conforme exigência prevista</w:t>
      </w:r>
      <w:r>
        <w:rPr>
          <w:rFonts w:ascii="Arial" w:hAnsi="Arial" w:cs="Arial"/>
        </w:rPr>
        <w:t xml:space="preserve"> no Artigo 180, do RICMS (Regulamento do ICMS) a ser processada em duas vias, com todos os campos preenchidos discriminando valores unitários e totais dos itens, sem rasuras e devidamente atestada pelo servidor responsável pelo recebimento do serviço e/ou </w:t>
      </w:r>
      <w:r>
        <w:rPr>
          <w:rFonts w:ascii="Arial" w:hAnsi="Arial" w:cs="Arial"/>
        </w:rPr>
        <w:t xml:space="preserve">material da Secretaria Municipal solicitante, constando, ainda, o número do banco, da agência e da conta corrente onde deseja receber seu crédito.</w:t>
      </w:r>
      <w:r/>
    </w:p>
    <w:p w14:paraId="08576167" w14:textId="77777777">
      <w:pPr>
        <w:pBdr/>
        <w:spacing/>
        <w:ind/>
        <w:jc w:val="both"/>
        <w:rPr>
          <w:rFonts w:ascii="Arial" w:hAnsi="Arial" w:cs="Arial"/>
        </w:rPr>
      </w:pPr>
      <w:r>
        <w:rPr>
          <w:rFonts w:ascii="Arial" w:hAnsi="Arial" w:cs="Arial"/>
        </w:rPr>
      </w:r>
      <w:r>
        <w:rPr>
          <w:rFonts w:ascii="Arial" w:hAnsi="Arial" w:cs="Arial"/>
        </w:rPr>
      </w:r>
    </w:p>
    <w:p w14:paraId="1B407061" w14:textId="77777777">
      <w:pPr>
        <w:pBdr/>
        <w:spacing/>
        <w:ind/>
        <w:jc w:val="both"/>
        <w:rPr/>
      </w:pPr>
      <w:r>
        <w:rPr>
          <w:rStyle w:val="960"/>
          <w:rFonts w:ascii="Arial" w:hAnsi="Arial" w:eastAsia="Calibri" w:cs="Arial"/>
          <w:b/>
        </w:rPr>
        <w:t xml:space="preserve">10.3.1.</w:t>
      </w:r>
      <w:r>
        <w:rPr>
          <w:rStyle w:val="960"/>
          <w:rFonts w:ascii="Arial" w:hAnsi="Arial" w:eastAsia="Calibri" w:cs="Arial"/>
        </w:rPr>
        <w:t xml:space="preserve"> </w:t>
      </w:r>
      <w:r>
        <w:rPr>
          <w:rFonts w:ascii="Arial" w:hAnsi="Arial" w:cs="Arial"/>
          <w:bCs/>
        </w:rPr>
        <w:t xml:space="preserve">Apresentar, junto com a Nota Fiscal, as certidões que comprovem a regularidade com as condições de habilitação e qualificação exigidas na licitação </w:t>
      </w:r>
      <w:r>
        <w:rPr>
          <w:rFonts w:ascii="Arial" w:hAnsi="Arial" w:cs="Arial"/>
        </w:rPr>
        <w:t xml:space="preserve">conforme ao disposto n</w:t>
      </w:r>
      <w:r>
        <w:rPr>
          <w:rFonts w:ascii="Arial" w:hAnsi="Arial" w:cs="Arial"/>
          <w:b/>
        </w:rPr>
        <w:t xml:space="preserve">o artigo 92 inciso </w:t>
      </w:r>
      <w:r>
        <w:rPr>
          <w:rFonts w:ascii="Arial" w:hAnsi="Arial" w:cs="Arial"/>
        </w:rPr>
        <w:t xml:space="preserve">XVI da Lei nº 14.133, de 01 de abril de 2021.</w:t>
      </w:r>
      <w:r/>
    </w:p>
    <w:p w14:paraId="1224096A" w14:textId="77777777">
      <w:pPr>
        <w:pBdr/>
        <w:spacing w:after="280" w:before="280"/>
        <w:ind w:left="1134"/>
        <w:jc w:val="both"/>
        <w:rPr/>
      </w:pPr>
      <w:r>
        <w:rPr>
          <w:rFonts w:ascii="Arial" w:hAnsi="Arial" w:eastAsia="Arial" w:cs="Arial"/>
        </w:rPr>
        <w:t xml:space="preserve"> </w:t>
      </w:r>
      <w:r>
        <w:rPr>
          <w:rFonts w:ascii="Arial" w:hAnsi="Arial" w:cs="Arial"/>
        </w:rPr>
        <w:t xml:space="preserve">“XVI - a obrigação do contratado de manter, durante toda a execução do contrato, em compatibilidade com as obrigações por ele assumidas, todas as condições exigidas para a habilitação na licitação, ou para a qualificação, na contratação direta;”.</w:t>
      </w:r>
      <w:r/>
    </w:p>
    <w:p w14:paraId="0B89E8A0" w14:textId="77777777">
      <w:pPr>
        <w:pBdr/>
        <w:spacing/>
        <w:ind w:right="-5"/>
        <w:jc w:val="both"/>
        <w:rPr/>
      </w:pPr>
      <w:r>
        <w:rPr>
          <w:rStyle w:val="960"/>
          <w:rFonts w:ascii="Arial" w:hAnsi="Arial" w:eastAsia="Calibri" w:cs="Arial"/>
          <w:b/>
        </w:rPr>
        <w:t xml:space="preserve">10.3.2. </w:t>
      </w:r>
      <w:r>
        <w:rPr>
          <w:rStyle w:val="960"/>
          <w:rFonts w:ascii="Arial" w:hAnsi="Arial" w:eastAsia="Calibri" w:cs="Arial"/>
        </w:rPr>
        <w:t xml:space="preserve">Constatando-se qualquer incorreção na Nota Fiscal, bem como, qualquer outra circunstância que desaconselhe o seu pagamento, o prazo constante no item 10.3 fluirá a partir da respectiva data de regularização. </w:t>
      </w:r>
      <w:r/>
    </w:p>
    <w:p w14:paraId="44ADEFAE" w14:textId="77777777">
      <w:pPr>
        <w:pBdr/>
        <w:spacing/>
        <w:ind w:right="-5"/>
        <w:jc w:val="both"/>
        <w:rPr/>
      </w:pPr>
      <w:r/>
      <w:r/>
    </w:p>
    <w:p w14:paraId="5FD0D0D5" w14:textId="77777777">
      <w:pPr>
        <w:pBdr/>
        <w:spacing/>
        <w:ind w:right="-5"/>
        <w:jc w:val="both"/>
        <w:rPr>
          <w:rStyle w:val="960"/>
          <w:rFonts w:ascii="Arial" w:hAnsi="Arial" w:eastAsia="Calibri" w:cs="Arial"/>
        </w:rPr>
      </w:pPr>
      <w:r>
        <w:rPr>
          <w:rStyle w:val="960"/>
          <w:rFonts w:ascii="Arial" w:hAnsi="Arial" w:eastAsia="Calibri" w:cs="Arial"/>
          <w:b/>
        </w:rPr>
        <w:t xml:space="preserve">10.4.</w:t>
      </w:r>
      <w:r>
        <w:rPr>
          <w:rStyle w:val="960"/>
          <w:rFonts w:ascii="Arial" w:hAnsi="Arial" w:eastAsia="Calibri" w:cs="Arial"/>
        </w:rPr>
        <w:t xml:space="preserve"> Nenhum pagamento será efetuado à Contratada enquanto pendente de liquidação qualquer obrigação, não podendo este fato ensejar direito de reajustamento de preços ou a atualização monetária.</w:t>
      </w:r>
      <w:r>
        <w:rPr>
          <w:rStyle w:val="960"/>
          <w:rFonts w:ascii="Arial" w:hAnsi="Arial" w:eastAsia="Calibri" w:cs="Arial"/>
        </w:rPr>
      </w:r>
    </w:p>
    <w:p w14:paraId="68E8676C" w14:textId="77777777">
      <w:pPr>
        <w:pBdr/>
        <w:spacing/>
        <w:ind w:right="-5"/>
        <w:jc w:val="both"/>
        <w:rPr>
          <w:rStyle w:val="960"/>
          <w:rFonts w:ascii="Arial" w:hAnsi="Arial" w:eastAsia="Calibri" w:cs="Arial"/>
        </w:rPr>
      </w:pPr>
      <w:r>
        <w:rPr>
          <w:rFonts w:ascii="Arial" w:hAnsi="Arial" w:eastAsia="Calibri" w:cs="Arial"/>
        </w:rPr>
      </w:r>
      <w:r>
        <w:rPr>
          <w:rStyle w:val="960"/>
          <w:rFonts w:ascii="Arial" w:hAnsi="Arial" w:eastAsia="Calibri" w:cs="Arial"/>
        </w:rPr>
      </w:r>
    </w:p>
    <w:p w14:paraId="36D49797" w14:textId="77777777">
      <w:pPr>
        <w:pBdr/>
        <w:spacing/>
        <w:ind w:right="-5"/>
        <w:jc w:val="both"/>
        <w:rPr/>
      </w:pPr>
      <w:r>
        <w:rPr>
          <w:rStyle w:val="960"/>
          <w:rFonts w:ascii="Arial" w:hAnsi="Arial" w:eastAsia="Calibri" w:cs="Arial"/>
          <w:b/>
        </w:rPr>
        <w:t xml:space="preserve">10.5.</w:t>
      </w:r>
      <w:r>
        <w:t xml:space="preserve"> </w:t>
      </w:r>
      <w:r>
        <w:rPr>
          <w:rStyle w:val="960"/>
          <w:rFonts w:ascii="Arial" w:hAnsi="Arial" w:eastAsia="Calibri" w:cs="Arial"/>
        </w:rPr>
        <w:t xml:space="preserve">O prazo para liquidação será de 15 (quinze) dias úteis.</w:t>
      </w:r>
      <w:r/>
    </w:p>
    <w:p w14:paraId="14C85147" w14:textId="77777777">
      <w:pPr>
        <w:pBdr/>
        <w:spacing/>
        <w:ind w:right="-5"/>
        <w:jc w:val="both"/>
        <w:rPr/>
      </w:pPr>
      <w:r/>
      <w:r/>
    </w:p>
    <w:p w14:paraId="63E2C6F7" w14:textId="77777777">
      <w:pPr>
        <w:pBdr/>
        <w:spacing/>
        <w:ind w:right="-5"/>
        <w:jc w:val="both"/>
        <w:rPr/>
      </w:pPr>
      <w:r>
        <w:rPr>
          <w:rStyle w:val="960"/>
          <w:rFonts w:ascii="Arial" w:hAnsi="Arial" w:eastAsia="Calibri" w:cs="Arial"/>
          <w:b/>
        </w:rPr>
        <w:t xml:space="preserve">10.6.</w:t>
      </w:r>
      <w:r>
        <w:rPr>
          <w:rStyle w:val="960"/>
          <w:rFonts w:ascii="Arial" w:hAnsi="Arial" w:eastAsia="Calibri" w:cs="Arial"/>
        </w:rPr>
        <w:t xml:space="preserve"> Os pagamentos não realizados dentro do prazo, motivados pela CONTRATADA, não serão geradores de direito a reajustamento de preços. </w:t>
      </w:r>
      <w:r/>
    </w:p>
    <w:p w14:paraId="0DF7D816" w14:textId="77777777">
      <w:pPr>
        <w:pBdr/>
        <w:spacing/>
        <w:ind w:right="-5"/>
        <w:jc w:val="both"/>
        <w:rPr/>
      </w:pPr>
      <w:r/>
      <w:r/>
    </w:p>
    <w:p w14:paraId="78297C1C" w14:textId="77777777">
      <w:pPr>
        <w:pBdr/>
        <w:spacing/>
        <w:ind w:right="-5"/>
        <w:jc w:val="both"/>
        <w:rPr/>
      </w:pPr>
      <w:r>
        <w:rPr>
          <w:rFonts w:ascii="Arial" w:hAnsi="Arial" w:cs="Arial"/>
          <w:b/>
        </w:rPr>
        <w:t xml:space="preserve">10.7.</w:t>
      </w:r>
      <w:r>
        <w:rPr>
          <w:rFonts w:ascii="Arial" w:hAnsi="Arial" w:cs="Arial"/>
        </w:rPr>
        <w:t xml:space="preserve"> As notas fiscais deverão estar devidamente atestada (s) pelos Secretários responsáveis pelas Secretarias solicitantes;</w:t>
      </w:r>
      <w:r>
        <w:rPr>
          <w:rFonts w:ascii="Arial" w:hAnsi="Arial" w:cs="Arial"/>
          <w:b/>
          <w:u w:val="single"/>
        </w:rPr>
        <w:t xml:space="preserve"> </w:t>
      </w:r>
      <w:r/>
    </w:p>
    <w:p w14:paraId="6A8B403F" w14:textId="77777777">
      <w:pPr>
        <w:pBdr/>
        <w:spacing/>
        <w:ind w:right="-5"/>
        <w:jc w:val="both"/>
        <w:rPr>
          <w:rFonts w:ascii="Arial" w:hAnsi="Arial" w:cs="Arial"/>
          <w:b/>
          <w:u w:val="single"/>
        </w:rPr>
      </w:pPr>
      <w:r>
        <w:rPr>
          <w:rFonts w:ascii="Arial" w:hAnsi="Arial" w:cs="Arial"/>
          <w:b/>
          <w:u w:val="single"/>
        </w:rPr>
      </w:r>
      <w:r>
        <w:rPr>
          <w:rFonts w:ascii="Arial" w:hAnsi="Arial" w:cs="Arial"/>
          <w:b/>
          <w:u w:val="single"/>
        </w:rPr>
      </w:r>
    </w:p>
    <w:p w14:paraId="7B2C974F" w14:textId="77777777">
      <w:pPr>
        <w:pBdr/>
        <w:spacing/>
        <w:ind/>
        <w:jc w:val="both"/>
        <w:rPr>
          <w:rFonts w:ascii="Arial" w:hAnsi="Arial" w:cs="Arial"/>
          <w:b/>
        </w:rPr>
      </w:pPr>
      <w:r>
        <w:rPr>
          <w:rFonts w:ascii="Arial" w:hAnsi="Arial" w:cs="Arial"/>
          <w:b/>
        </w:rPr>
        <w:t xml:space="preserve">10.8.</w:t>
      </w:r>
      <w:r>
        <w:rPr>
          <w:rFonts w:ascii="Arial" w:hAnsi="Arial" w:cs="Arial"/>
          <w:b/>
        </w:rPr>
        <w:t xml:space="preserve"> As Notas Fiscais deverão ser emitidas até o dia 25 de cada mês, conforme disposto no artigo 3º, § 1º da Instrução Normativa n. 03/2008. Nas Notas Fiscais deverão constar o número do processo e da modalidade da licitação, bem como a Secretaria solicitante.</w:t>
      </w:r>
      <w:r>
        <w:rPr>
          <w:rFonts w:ascii="Arial" w:hAnsi="Arial" w:cs="Arial"/>
          <w:b/>
        </w:rPr>
      </w:r>
    </w:p>
    <w:p w14:paraId="78B5BD83" w14:textId="77777777">
      <w:pPr>
        <w:pBdr/>
        <w:spacing/>
        <w:ind/>
        <w:jc w:val="both"/>
        <w:rPr/>
      </w:pPr>
      <w:r/>
      <w:r/>
    </w:p>
    <w:p w14:paraId="6F3448B1" w14:textId="77777777">
      <w:pPr>
        <w:pBdr/>
        <w:spacing/>
        <w:ind/>
        <w:jc w:val="both"/>
        <w:rPr/>
      </w:pPr>
      <w:r>
        <w:rPr>
          <w:rFonts w:ascii="Arial" w:hAnsi="Arial" w:cs="Arial"/>
          <w:b/>
        </w:rPr>
        <w:t xml:space="preserve">10.9.</w:t>
      </w:r>
      <w:r>
        <w:rPr>
          <w:rFonts w:ascii="Arial" w:hAnsi="Arial" w:cs="Arial"/>
        </w:rPr>
        <w:t xml:space="preserve"> O Município de Rondonópolis-MT, só autorizará a realização dos pagamentos, se houver por parte do setor requisitante dos produtos, o necessário ATESTO dos produtos entregues pela empresa vencedora, no verso da Nota Fiscal.</w:t>
      </w:r>
      <w:r/>
    </w:p>
    <w:p w14:paraId="43D5A31D" w14:textId="77777777">
      <w:pPr>
        <w:pBdr/>
        <w:spacing/>
        <w:ind/>
        <w:jc w:val="both"/>
        <w:rPr>
          <w:rFonts w:ascii="Arial" w:hAnsi="Arial" w:cs="Arial"/>
        </w:rPr>
      </w:pPr>
      <w:r>
        <w:rPr>
          <w:rFonts w:ascii="Arial" w:hAnsi="Arial" w:cs="Arial"/>
        </w:rPr>
      </w:r>
      <w:r>
        <w:rPr>
          <w:rFonts w:ascii="Arial" w:hAnsi="Arial" w:cs="Arial"/>
        </w:rPr>
      </w:r>
    </w:p>
    <w:p w14:paraId="75DF7044" w14:textId="77777777">
      <w:pPr>
        <w:pBdr/>
        <w:spacing/>
        <w:ind/>
        <w:jc w:val="both"/>
        <w:rPr/>
      </w:pPr>
      <w:r>
        <w:rPr>
          <w:rFonts w:ascii="Arial" w:hAnsi="Arial" w:cs="Arial"/>
          <w:b/>
        </w:rPr>
        <w:t xml:space="preserve">10.10. </w:t>
      </w:r>
      <w:r>
        <w:rPr>
          <w:rFonts w:ascii="Arial" w:hAnsi="Arial" w:cs="Arial"/>
        </w:rPr>
        <w:t xml:space="preserve">Quando do pagamento, será efetuada a retenção tributária prevista na legislação aplicável.</w:t>
      </w:r>
      <w:r/>
    </w:p>
    <w:p w14:paraId="17E2CDA7" w14:textId="77777777">
      <w:pPr>
        <w:pBdr/>
        <w:tabs>
          <w:tab w:val="left" w:leader="none" w:pos="1440"/>
        </w:tabs>
        <w:spacing w:after="120" w:before="120"/>
        <w:ind/>
        <w:jc w:val="both"/>
        <w:rPr/>
      </w:pPr>
      <w:r>
        <w:rPr>
          <w:rFonts w:ascii="Arial" w:hAnsi="Arial" w:cs="Arial"/>
          <w:b/>
        </w:rPr>
        <w:t xml:space="preserve">10.10.1. </w:t>
      </w:r>
      <w:r>
        <w:rPr>
          <w:rFonts w:ascii="Arial" w:hAnsi="Arial" w:cs="Arial"/>
        </w:rPr>
        <w:t xml:space="preserve">A Contratada regularmente optante pelo Simples Nacional, nos termos da Lei Complementar nº 123, de 2006, não sofrerá a retenção tributária quant</w:t>
      </w:r>
      <w:r>
        <w:rPr>
          <w:rFonts w:ascii="Arial" w:hAnsi="Arial" w:cs="Arial"/>
        </w:rPr>
        <w:t xml:space="preserve">o aos impostos e contribuições abrangidos por aquele regime. No entanto, o pagamento ficará condicionado à apresentação de comprovação, por meio de documento oficial, de que faz jus ao tratamento tributário favorecido previsto na referida Lei Complementar.</w:t>
      </w:r>
      <w:r/>
    </w:p>
    <w:p w14:paraId="72F83756" w14:textId="77777777">
      <w:pPr>
        <w:pBdr/>
        <w:spacing/>
        <w:ind/>
        <w:jc w:val="both"/>
        <w:rPr/>
      </w:pPr>
      <w:r>
        <w:rPr>
          <w:rFonts w:ascii="Arial" w:hAnsi="Arial" w:cs="Arial"/>
          <w:b/>
        </w:rPr>
        <w:t xml:space="preserve">10.11.</w:t>
      </w:r>
      <w:r>
        <w:rPr>
          <w:rFonts w:ascii="Arial" w:hAnsi="Arial" w:cs="Arial"/>
        </w:rPr>
        <w:t xml:space="preserve"> A liquidação e o pagamento não isentam o contratado das suas responsabilidades e obrigações vinculadas ao fornecimento, especialmente àquelas relacionadas à qualidade e garantia dos produtos, tampouco implicará aceitação definitiva do fornecimento.</w:t>
      </w:r>
      <w:r/>
    </w:p>
    <w:p w14:paraId="376FDCDF" w14:textId="77777777">
      <w:pPr>
        <w:pBdr/>
        <w:spacing/>
        <w:ind/>
        <w:jc w:val="both"/>
        <w:rPr>
          <w:rFonts w:ascii="Arial" w:hAnsi="Arial" w:cs="Arial"/>
        </w:rPr>
      </w:pPr>
      <w:r>
        <w:rPr>
          <w:rFonts w:ascii="Arial" w:hAnsi="Arial" w:cs="Arial"/>
        </w:rPr>
      </w:r>
      <w:r>
        <w:rPr>
          <w:rFonts w:ascii="Arial" w:hAnsi="Arial" w:cs="Arial"/>
        </w:rPr>
      </w:r>
    </w:p>
    <w:p w14:paraId="59792FF3" w14:textId="77777777">
      <w:pPr>
        <w:pBdr/>
        <w:spacing/>
        <w:ind/>
        <w:jc w:val="both"/>
        <w:rPr>
          <w:rFonts w:ascii="Arial" w:hAnsi="Arial" w:cs="Arial"/>
        </w:rPr>
      </w:pPr>
      <w:r>
        <w:rPr>
          <w:rFonts w:ascii="Arial" w:hAnsi="Arial" w:cs="Arial"/>
          <w:b/>
        </w:rPr>
        <w:t xml:space="preserve">10.12.</w:t>
      </w:r>
      <w:r>
        <w:rPr>
          <w:rFonts w:ascii="Arial" w:hAnsi="Arial" w:cs="Arial"/>
        </w:rPr>
        <w:t xml:space="preserve"> As despesas bancárias decorrentes de transferência de valores para outras praças, serão de responsabilidade do contratado.</w:t>
      </w:r>
      <w:r>
        <w:rPr>
          <w:rFonts w:ascii="Arial" w:hAnsi="Arial" w:cs="Arial"/>
        </w:rPr>
      </w:r>
    </w:p>
    <w:p w14:paraId="19316E6C" w14:textId="77777777">
      <w:pPr>
        <w:pBdr/>
        <w:spacing/>
        <w:ind/>
        <w:jc w:val="both"/>
        <w:rPr>
          <w:rFonts w:ascii="Arial" w:hAnsi="Arial" w:cs="Arial"/>
        </w:rPr>
      </w:pPr>
      <w:r>
        <w:rPr>
          <w:rFonts w:ascii="Arial" w:hAnsi="Arial" w:cs="Arial"/>
        </w:rPr>
      </w:r>
      <w:r>
        <w:rPr>
          <w:rFonts w:ascii="Arial" w:hAnsi="Arial" w:cs="Arial"/>
        </w:rPr>
      </w:r>
    </w:p>
    <w:p w14:paraId="1865E35A" w14:textId="77777777">
      <w:pPr>
        <w:pBdr/>
        <w:spacing/>
        <w:ind/>
        <w:jc w:val="both"/>
        <w:rPr/>
      </w:pPr>
      <w:r>
        <w:rPr>
          <w:rFonts w:ascii="Arial" w:hAnsi="Arial" w:cs="Arial"/>
          <w:b/>
        </w:rPr>
        <w:t xml:space="preserve">10.13.</w:t>
      </w:r>
      <w:r>
        <w:rPr>
          <w:rFonts w:ascii="Arial" w:hAnsi="Arial" w:cs="Arial"/>
        </w:rPr>
        <w:t xml:space="preserve"> Após 30 (trinta) dias da data em que deveria ser efetua</w:t>
      </w:r>
      <w:r>
        <w:rPr>
          <w:rFonts w:ascii="Arial" w:hAnsi="Arial" w:cs="Arial"/>
        </w:rPr>
        <w:t xml:space="preserve">do o pagamento das faturas, incidirá sobre o valor faturado atualização monetária com base no Índice de Nacional de Preços ao Consumidor Amplo (IPCA) ou Índice Geral de Preços - Mercado (IGP-M), sendo que sempre será utilizado o índice de menor percentual.</w:t>
      </w:r>
      <w:r/>
    </w:p>
    <w:p w14:paraId="17CFBD6D" w14:textId="77777777">
      <w:pPr>
        <w:pBdr/>
        <w:spacing/>
        <w:ind/>
        <w:jc w:val="both"/>
        <w:rPr>
          <w:rFonts w:ascii="Arial" w:hAnsi="Arial" w:cs="Arial"/>
          <w:b/>
        </w:rPr>
      </w:pPr>
      <w:r>
        <w:rPr>
          <w:rFonts w:ascii="Arial" w:hAnsi="Arial" w:cs="Arial"/>
          <w:b/>
        </w:rPr>
      </w:r>
      <w:r>
        <w:rPr>
          <w:rFonts w:ascii="Arial" w:hAnsi="Arial" w:cs="Arial"/>
          <w:b/>
        </w:rPr>
      </w:r>
    </w:p>
    <w:p w14:paraId="17A2CE40" w14:textId="77777777">
      <w:pPr>
        <w:pBdr/>
        <w:spacing/>
        <w:ind/>
        <w:rPr>
          <w:rFonts w:ascii="Arial" w:hAnsi="Arial" w:cs="Arial"/>
          <w:b/>
        </w:rPr>
      </w:pPr>
      <w:r>
        <w:rPr>
          <w:rFonts w:ascii="Arial" w:hAnsi="Arial" w:cs="Arial"/>
          <w:b/>
        </w:rPr>
        <w:t xml:space="preserve">CLÁUSULA DÉCIMA PRIMEIRA - DO REAJUSTAMENTO, REPACTUAÇÃO, REVISÃO, SUPRESSÕES E ACRÉSCIMOS</w:t>
      </w:r>
      <w:r>
        <w:rPr>
          <w:rFonts w:ascii="Arial" w:hAnsi="Arial" w:cs="Arial"/>
          <w:b/>
        </w:rPr>
      </w:r>
    </w:p>
    <w:p w14:paraId="5BCF23F2" w14:textId="77777777">
      <w:pPr>
        <w:pBdr/>
        <w:spacing/>
        <w:ind/>
        <w:jc w:val="both"/>
        <w:rPr>
          <w:rFonts w:ascii="Arial" w:hAnsi="Arial" w:cs="Arial"/>
          <w:b/>
        </w:rPr>
      </w:pPr>
      <w:r>
        <w:rPr>
          <w:rFonts w:ascii="Arial" w:hAnsi="Arial" w:cs="Arial"/>
          <w:b/>
        </w:rPr>
      </w:r>
      <w:r>
        <w:rPr>
          <w:rFonts w:ascii="Arial" w:hAnsi="Arial" w:cs="Arial"/>
          <w:b/>
        </w:rPr>
      </w:r>
    </w:p>
    <w:p w14:paraId="34A2EBAF" w14:textId="77777777">
      <w:pPr>
        <w:pBdr/>
        <w:spacing/>
        <w:ind/>
        <w:jc w:val="both"/>
        <w:rPr>
          <w:rFonts w:ascii="Arial" w:hAnsi="Arial" w:cs="Arial"/>
          <w:b/>
        </w:rPr>
      </w:pPr>
      <w:r>
        <w:rPr>
          <w:rFonts w:ascii="Arial" w:hAnsi="Arial" w:cs="Arial"/>
          <w:b/>
        </w:rPr>
        <w:t xml:space="preserve">11.1. DO CRITÉRIO DE REAJUSTE </w:t>
      </w:r>
      <w:r>
        <w:rPr>
          <w:rFonts w:ascii="Arial" w:hAnsi="Arial" w:cs="Arial"/>
          <w:b/>
        </w:rPr>
      </w:r>
    </w:p>
    <w:p w14:paraId="69385A36" w14:textId="77777777">
      <w:pPr>
        <w:pBdr/>
        <w:spacing/>
        <w:ind/>
        <w:jc w:val="both"/>
        <w:rPr>
          <w:rFonts w:ascii="Arial" w:hAnsi="Arial" w:cs="Arial"/>
        </w:rPr>
      </w:pPr>
      <w:r>
        <w:rPr>
          <w:rFonts w:ascii="Arial" w:hAnsi="Arial" w:cs="Arial"/>
        </w:rPr>
      </w:r>
      <w:r>
        <w:rPr>
          <w:rFonts w:ascii="Arial" w:hAnsi="Arial" w:cs="Arial"/>
        </w:rPr>
      </w:r>
    </w:p>
    <w:p w14:paraId="31E9A7F4" w14:textId="77777777">
      <w:pPr>
        <w:pBdr/>
        <w:spacing/>
        <w:ind/>
        <w:jc w:val="both"/>
        <w:rPr/>
      </w:pPr>
      <w:r>
        <w:rPr>
          <w:rFonts w:ascii="Arial" w:hAnsi="Arial" w:cs="Arial"/>
          <w:b/>
          <w:bCs/>
          <w:iCs/>
          <w:spacing w:val="-1"/>
          <w:lang w:eastAsia="pt-BR"/>
        </w:rPr>
        <w:t xml:space="preserve">11.1.1.</w:t>
      </w:r>
      <w:r>
        <w:rPr>
          <w:rFonts w:ascii="Arial" w:hAnsi="Arial" w:cs="Arial"/>
          <w:bCs/>
          <w:iCs/>
          <w:spacing w:val="-1"/>
          <w:lang w:eastAsia="pt-BR"/>
        </w:rPr>
        <w:t xml:space="preserve"> </w:t>
      </w:r>
      <w:r>
        <w:rPr>
          <w:rFonts w:ascii="Arial" w:hAnsi="Arial" w:cs="Arial"/>
        </w:rPr>
        <w:t xml:space="preserve">Os preços inicialmente contratados são fixos e irreajustáveis pelo prazo de um ano contado da data do orçamento estimado.</w:t>
      </w:r>
      <w:r/>
    </w:p>
    <w:p w14:paraId="6BDD096A" w14:textId="77777777">
      <w:pPr>
        <w:pBdr/>
        <w:spacing/>
        <w:ind/>
        <w:jc w:val="both"/>
        <w:rPr>
          <w:rFonts w:ascii="Arial" w:hAnsi="Arial" w:cs="Arial"/>
        </w:rPr>
      </w:pPr>
      <w:r>
        <w:rPr>
          <w:rFonts w:ascii="Arial" w:hAnsi="Arial" w:cs="Arial"/>
        </w:rPr>
      </w:r>
      <w:r>
        <w:rPr>
          <w:rFonts w:ascii="Arial" w:hAnsi="Arial" w:cs="Arial"/>
        </w:rPr>
      </w:r>
    </w:p>
    <w:p w14:paraId="19BF162E" w14:textId="77777777">
      <w:pPr>
        <w:pStyle w:val="1084"/>
        <w:widowControl w:val="false"/>
        <w:pBdr/>
        <w:tabs>
          <w:tab w:val="left" w:leader="none" w:pos="426"/>
        </w:tabs>
        <w:spacing/>
        <w:ind/>
        <w:jc w:val="both"/>
        <w:rPr/>
      </w:pPr>
      <w:r>
        <w:rPr>
          <w:rFonts w:ascii="Arial" w:hAnsi="Arial" w:cs="Arial"/>
          <w:b/>
          <w:bCs/>
          <w:iCs/>
          <w:spacing w:val="-1"/>
          <w:sz w:val="20"/>
          <w:szCs w:val="20"/>
          <w:lang w:eastAsia="pt-BR"/>
        </w:rPr>
        <w:t xml:space="preserve">11.1.1.1.</w:t>
      </w:r>
      <w:r>
        <w:rPr>
          <w:rFonts w:ascii="Arial" w:hAnsi="Arial" w:cs="Arial"/>
          <w:bCs/>
          <w:iCs/>
          <w:spacing w:val="-1"/>
          <w:sz w:val="20"/>
          <w:szCs w:val="20"/>
          <w:lang w:eastAsia="pt-BR"/>
        </w:rPr>
        <w:t xml:space="preserve"> </w:t>
      </w:r>
      <w:r>
        <w:rPr>
          <w:rFonts w:ascii="Arial" w:hAnsi="Arial" w:cs="Arial"/>
          <w:iCs/>
          <w:spacing w:val="-1"/>
          <w:sz w:val="20"/>
          <w:szCs w:val="20"/>
          <w:lang w:eastAsia="pt-BR"/>
        </w:rPr>
        <w:t xml:space="preserve">Considera-se preço registrado aquele atribuído ao produto, incluindo todas as despesas tais como: tributos (impostos, taxas, emolumentos, contribuições fiscais e para fiscais) e</w:t>
      </w:r>
      <w:r>
        <w:rPr>
          <w:rFonts w:ascii="Arial" w:hAnsi="Arial" w:cs="Arial"/>
          <w:sz w:val="20"/>
          <w:szCs w:val="20"/>
        </w:rPr>
        <w:t xml:space="preserve"> qualquer despesa, acessória e/ou complementar e outras não especificadas neste edital, mas que incidam no cumprimento das obrigações assumidas pela empresa detentora da Ata na execução da mesma.</w:t>
      </w:r>
      <w:r/>
    </w:p>
    <w:p w14:paraId="52C2A120" w14:textId="77777777">
      <w:pPr>
        <w:pBdr/>
        <w:spacing/>
        <w:ind/>
        <w:jc w:val="both"/>
        <w:rPr>
          <w:rFonts w:ascii="Arial" w:hAnsi="Arial" w:cs="Arial"/>
        </w:rPr>
      </w:pPr>
      <w:r>
        <w:rPr>
          <w:rFonts w:ascii="Arial" w:hAnsi="Arial" w:cs="Arial"/>
        </w:rPr>
      </w:r>
      <w:r>
        <w:rPr>
          <w:rFonts w:ascii="Arial" w:hAnsi="Arial" w:cs="Arial"/>
        </w:rPr>
      </w:r>
    </w:p>
    <w:p w14:paraId="0FAC2E3B" w14:textId="77777777">
      <w:pPr>
        <w:pBdr/>
        <w:spacing/>
        <w:ind/>
        <w:jc w:val="both"/>
        <w:rPr/>
      </w:pPr>
      <w:r>
        <w:rPr>
          <w:rFonts w:ascii="Arial" w:hAnsi="Arial" w:cs="Arial"/>
          <w:b/>
          <w:bCs/>
          <w:iCs/>
          <w:spacing w:val="-1"/>
          <w:lang w:eastAsia="pt-BR"/>
        </w:rPr>
        <w:t xml:space="preserve">11.1.1.</w:t>
      </w:r>
      <w:r>
        <w:rPr>
          <w:rFonts w:ascii="Arial" w:hAnsi="Arial" w:cs="Arial"/>
          <w:b/>
        </w:rPr>
        <w:t xml:space="preserve">2.</w:t>
      </w:r>
      <w:r>
        <w:rPr>
          <w:rFonts w:ascii="Arial" w:hAnsi="Arial" w:cs="Arial"/>
        </w:rPr>
        <w:t xml:space="preserve"> Após o interregno de 1 (um) ano, os preços iniciais serão reajustados, mediante a aplicação, pelo contratante,</w:t>
      </w:r>
      <w:r>
        <w:rPr>
          <w:rFonts w:ascii="Arial" w:hAnsi="Arial" w:cs="Arial"/>
        </w:rPr>
        <w:t xml:space="preserve"> do Índice de Nacional de Preços ao Consumidor Amplo (IPCA) ou Índice Geral de Preços – Mercado (IGP-M), sendo que sempre será utilizado o índice de menor percentual, exclusivamente para as obrigações iniciadas e concluídas após a ocorrência da anualidade.</w:t>
      </w:r>
      <w:r/>
    </w:p>
    <w:p w14:paraId="5B764C99" w14:textId="77777777">
      <w:pPr>
        <w:pBdr/>
        <w:spacing/>
        <w:ind/>
        <w:jc w:val="both"/>
        <w:rPr>
          <w:rFonts w:ascii="Arial" w:hAnsi="Arial" w:cs="Arial"/>
        </w:rPr>
      </w:pPr>
      <w:r>
        <w:rPr>
          <w:rFonts w:ascii="Arial" w:hAnsi="Arial" w:cs="Arial"/>
        </w:rPr>
      </w:r>
      <w:r>
        <w:rPr>
          <w:rFonts w:ascii="Arial" w:hAnsi="Arial" w:cs="Arial"/>
        </w:rPr>
      </w:r>
    </w:p>
    <w:p w14:paraId="64656824" w14:textId="77777777">
      <w:pPr>
        <w:pBdr/>
        <w:spacing/>
        <w:ind/>
        <w:jc w:val="both"/>
        <w:rPr/>
      </w:pPr>
      <w:r>
        <w:rPr>
          <w:rFonts w:ascii="Arial" w:hAnsi="Arial" w:cs="Arial"/>
          <w:b/>
          <w:bCs/>
          <w:iCs/>
          <w:spacing w:val="-1"/>
          <w:lang w:eastAsia="pt-BR"/>
        </w:rPr>
        <w:t xml:space="preserve">11.1.1.</w:t>
      </w:r>
      <w:r>
        <w:rPr>
          <w:rFonts w:ascii="Arial" w:hAnsi="Arial" w:cs="Arial"/>
          <w:b/>
        </w:rPr>
        <w:t xml:space="preserve">3.</w:t>
      </w:r>
      <w:r>
        <w:rPr>
          <w:rFonts w:ascii="Arial" w:hAnsi="Arial" w:cs="Arial"/>
        </w:rPr>
        <w:t xml:space="preserve"> Os reajustes deverão ser precedidos de solicitação do contratado, acompanhada de memorial do cálculo.</w:t>
      </w:r>
      <w:r/>
    </w:p>
    <w:p w14:paraId="21590FC3" w14:textId="77777777">
      <w:pPr>
        <w:pBdr/>
        <w:spacing/>
        <w:ind/>
        <w:jc w:val="both"/>
        <w:rPr>
          <w:rFonts w:ascii="Arial" w:hAnsi="Arial" w:cs="Arial"/>
        </w:rPr>
      </w:pPr>
      <w:r>
        <w:rPr>
          <w:rFonts w:ascii="Arial" w:hAnsi="Arial" w:cs="Arial"/>
        </w:rPr>
      </w:r>
      <w:r>
        <w:rPr>
          <w:rFonts w:ascii="Arial" w:hAnsi="Arial" w:cs="Arial"/>
        </w:rPr>
      </w:r>
    </w:p>
    <w:p w14:paraId="70BE67C8" w14:textId="77777777">
      <w:pPr>
        <w:pBdr/>
        <w:spacing/>
        <w:ind/>
        <w:jc w:val="both"/>
        <w:rPr/>
      </w:pPr>
      <w:r>
        <w:rPr>
          <w:rFonts w:ascii="Arial" w:hAnsi="Arial" w:cs="Arial"/>
          <w:b/>
          <w:bCs/>
          <w:iCs/>
          <w:spacing w:val="-1"/>
          <w:lang w:eastAsia="pt-BR"/>
        </w:rPr>
        <w:t xml:space="preserve">11.1.1.</w:t>
      </w:r>
      <w:r>
        <w:rPr>
          <w:rFonts w:ascii="Arial" w:hAnsi="Arial" w:cs="Arial"/>
          <w:b/>
        </w:rPr>
        <w:t xml:space="preserve">4.</w:t>
      </w:r>
      <w:r>
        <w:rPr>
          <w:rFonts w:ascii="Arial" w:hAnsi="Arial" w:cs="Arial"/>
        </w:rPr>
        <w:t xml:space="preserve"> Independentemente do requerimento de reajus</w:t>
      </w:r>
      <w:r>
        <w:rPr>
          <w:rFonts w:ascii="Arial" w:hAnsi="Arial" w:cs="Arial"/>
        </w:rPr>
        <w:t xml:space="preserve">te formulado pelo contratado, o contratante verificará, a cada anualidade, se houve deflação do índice adotado que justifique o recálculo dos custos em valor menor, promovendo, em caso positivo, a redução dos valores correspondentes da planilha contratual.</w:t>
      </w:r>
      <w:r/>
    </w:p>
    <w:p w14:paraId="53A0497C" w14:textId="77777777">
      <w:pPr>
        <w:pBdr/>
        <w:spacing/>
        <w:ind/>
        <w:jc w:val="both"/>
        <w:rPr>
          <w:rFonts w:ascii="Arial" w:hAnsi="Arial" w:cs="Arial"/>
        </w:rPr>
      </w:pPr>
      <w:r>
        <w:rPr>
          <w:rFonts w:ascii="Arial" w:hAnsi="Arial" w:cs="Arial"/>
        </w:rPr>
      </w:r>
      <w:r>
        <w:rPr>
          <w:rFonts w:ascii="Arial" w:hAnsi="Arial" w:cs="Arial"/>
        </w:rPr>
      </w:r>
    </w:p>
    <w:p w14:paraId="472FEE31" w14:textId="77777777">
      <w:pPr>
        <w:pBdr/>
        <w:spacing/>
        <w:ind/>
        <w:jc w:val="both"/>
        <w:rPr/>
      </w:pPr>
      <w:r>
        <w:rPr>
          <w:rFonts w:ascii="Arial" w:hAnsi="Arial" w:cs="Arial"/>
          <w:b/>
          <w:bCs/>
          <w:iCs/>
          <w:spacing w:val="-1"/>
          <w:lang w:eastAsia="pt-BR"/>
        </w:rPr>
        <w:t xml:space="preserve">11.1.1.</w:t>
      </w:r>
      <w:r>
        <w:rPr>
          <w:rFonts w:ascii="Arial" w:hAnsi="Arial" w:cs="Arial"/>
          <w:b/>
        </w:rPr>
        <w:t xml:space="preserve">5.</w:t>
      </w:r>
      <w:r>
        <w:rPr>
          <w:rFonts w:ascii="Arial" w:hAnsi="Arial" w:cs="Arial"/>
        </w:rPr>
        <w:t xml:space="preserve"> Nos reajustes subsequentes ao primeiro, o intervalo mínimo de um ano será contado a partir dos efeitos financeiros do último reajuste.</w:t>
      </w:r>
      <w:r/>
    </w:p>
    <w:p w14:paraId="14D1A6F8" w14:textId="77777777">
      <w:pPr>
        <w:pBdr/>
        <w:spacing/>
        <w:ind/>
        <w:jc w:val="both"/>
        <w:rPr>
          <w:rFonts w:ascii="Arial" w:hAnsi="Arial" w:cs="Arial"/>
          <w:b/>
        </w:rPr>
      </w:pPr>
      <w:r>
        <w:rPr>
          <w:rFonts w:ascii="Arial" w:hAnsi="Arial" w:cs="Arial"/>
          <w:b/>
        </w:rPr>
      </w:r>
      <w:r>
        <w:rPr>
          <w:rFonts w:ascii="Arial" w:hAnsi="Arial" w:cs="Arial"/>
          <w:b/>
        </w:rPr>
      </w:r>
    </w:p>
    <w:p w14:paraId="49FF316A" w14:textId="77777777">
      <w:pPr>
        <w:pBdr/>
        <w:spacing/>
        <w:ind/>
        <w:jc w:val="both"/>
        <w:rPr/>
      </w:pPr>
      <w:r>
        <w:rPr>
          <w:rFonts w:ascii="Arial" w:hAnsi="Arial" w:cs="Arial"/>
          <w:b/>
          <w:bCs/>
          <w:iCs/>
          <w:spacing w:val="-1"/>
          <w:lang w:eastAsia="pt-BR"/>
        </w:rPr>
        <w:t xml:space="preserve">11.1.1.</w:t>
      </w:r>
      <w:r>
        <w:rPr>
          <w:rFonts w:ascii="Arial" w:hAnsi="Arial" w:cs="Arial"/>
          <w:b/>
        </w:rPr>
        <w:t xml:space="preserve">6.</w:t>
      </w:r>
      <w:r>
        <w:rPr>
          <w:rFonts w:ascii="Arial" w:hAnsi="Arial" w:cs="Arial"/>
        </w:rPr>
        <w:t xml:space="preserve"> No </w:t>
      </w:r>
      <w:r>
        <w:rPr>
          <w:rFonts w:ascii="Arial" w:hAnsi="Arial" w:cs="Arial"/>
        </w:rPr>
        <w:t xml:space="preserve">caso de atraso ou não divulgação do(s) índice (s) de reajustamento, o contratante pagará ao contratado a importância calculada pela última variação conhecida, liquidando a diferença correspondente tão logo seja(m) divulgado(s) o(s) índice(s) definitivo(s).</w:t>
      </w:r>
      <w:r/>
    </w:p>
    <w:p w14:paraId="5E17879F" w14:textId="77777777">
      <w:pPr>
        <w:pBdr/>
        <w:spacing/>
        <w:ind/>
        <w:jc w:val="both"/>
        <w:rPr>
          <w:rFonts w:ascii="Arial" w:hAnsi="Arial" w:cs="Arial"/>
        </w:rPr>
      </w:pPr>
      <w:r>
        <w:rPr>
          <w:rFonts w:ascii="Arial" w:hAnsi="Arial" w:cs="Arial"/>
        </w:rPr>
      </w:r>
      <w:r>
        <w:rPr>
          <w:rFonts w:ascii="Arial" w:hAnsi="Arial" w:cs="Arial"/>
        </w:rPr>
      </w:r>
    </w:p>
    <w:p w14:paraId="47BACFFA" w14:textId="77777777">
      <w:pPr>
        <w:pBdr/>
        <w:spacing/>
        <w:ind/>
        <w:jc w:val="both"/>
        <w:rPr/>
      </w:pPr>
      <w:r>
        <w:rPr>
          <w:rFonts w:ascii="Arial" w:hAnsi="Arial" w:cs="Arial"/>
          <w:b/>
          <w:bCs/>
          <w:iCs/>
          <w:spacing w:val="-1"/>
          <w:lang w:eastAsia="pt-BR"/>
        </w:rPr>
        <w:t xml:space="preserve">11.1.1.</w:t>
      </w:r>
      <w:r>
        <w:rPr>
          <w:rFonts w:ascii="Arial" w:hAnsi="Arial" w:cs="Arial"/>
          <w:b/>
        </w:rPr>
        <w:t xml:space="preserve">7</w:t>
      </w:r>
      <w:r>
        <w:rPr>
          <w:rFonts w:ascii="Arial" w:hAnsi="Arial" w:cs="Arial"/>
        </w:rPr>
        <w:t xml:space="preserve">. A prorrogação contratual sem a solicitação do reajuste implica a preclusão deste, sem prejuízo dos futuros reajustes nos termos pactuados.</w:t>
      </w:r>
      <w:r/>
    </w:p>
    <w:p w14:paraId="64C99544" w14:textId="77777777">
      <w:pPr>
        <w:pBdr/>
        <w:spacing/>
        <w:ind/>
        <w:jc w:val="both"/>
        <w:rPr>
          <w:rFonts w:ascii="Arial" w:hAnsi="Arial" w:cs="Arial"/>
        </w:rPr>
      </w:pPr>
      <w:r>
        <w:rPr>
          <w:rFonts w:ascii="Arial" w:hAnsi="Arial" w:cs="Arial"/>
        </w:rPr>
      </w:r>
      <w:r>
        <w:rPr>
          <w:rFonts w:ascii="Arial" w:hAnsi="Arial" w:cs="Arial"/>
        </w:rPr>
      </w:r>
    </w:p>
    <w:p w14:paraId="24703DAD" w14:textId="77777777">
      <w:pPr>
        <w:pBdr/>
        <w:spacing/>
        <w:ind/>
        <w:jc w:val="both"/>
        <w:rPr/>
      </w:pPr>
      <w:r>
        <w:rPr>
          <w:rFonts w:ascii="Arial" w:hAnsi="Arial" w:cs="Arial"/>
          <w:b/>
          <w:bCs/>
          <w:iCs/>
          <w:spacing w:val="-1"/>
          <w:lang w:eastAsia="pt-BR"/>
        </w:rPr>
        <w:t xml:space="preserve">11.1.1.</w:t>
      </w:r>
      <w:r>
        <w:rPr>
          <w:rFonts w:ascii="Arial" w:hAnsi="Arial" w:cs="Arial"/>
          <w:b/>
        </w:rPr>
        <w:t xml:space="preserve">8.</w:t>
      </w:r>
      <w:r>
        <w:rPr>
          <w:rFonts w:ascii="Arial" w:hAnsi="Arial" w:cs="Arial"/>
        </w:rPr>
        <w:t xml:space="preserve"> Caso o(s) índice(s) estabelecido(s) para reajustamento venha(m) a ser extinto(s) ou de qualquer forma não possa(m) mais ser utilizado(s), será(ão) adotado(s), em substituição, o(s) que vier(em) a ser determinado(s) pela legislação então em vigor.</w:t>
      </w:r>
      <w:r/>
    </w:p>
    <w:p w14:paraId="00FAE5E0" w14:textId="77777777">
      <w:pPr>
        <w:pBdr/>
        <w:spacing/>
        <w:ind/>
        <w:jc w:val="both"/>
        <w:rPr>
          <w:rFonts w:ascii="Arial" w:hAnsi="Arial" w:cs="Arial"/>
        </w:rPr>
      </w:pPr>
      <w:r>
        <w:rPr>
          <w:rFonts w:ascii="Arial" w:hAnsi="Arial" w:cs="Arial"/>
        </w:rPr>
      </w:r>
      <w:r>
        <w:rPr>
          <w:rFonts w:ascii="Arial" w:hAnsi="Arial" w:cs="Arial"/>
        </w:rPr>
      </w:r>
    </w:p>
    <w:p w14:paraId="3451758D" w14:textId="77777777">
      <w:pPr>
        <w:pBdr/>
        <w:spacing/>
        <w:ind/>
        <w:jc w:val="both"/>
        <w:rPr/>
      </w:pPr>
      <w:r>
        <w:rPr>
          <w:rFonts w:ascii="Arial" w:hAnsi="Arial" w:cs="Arial"/>
          <w:b/>
          <w:bCs/>
          <w:iCs/>
          <w:spacing w:val="-1"/>
          <w:lang w:eastAsia="pt-BR"/>
        </w:rPr>
        <w:t xml:space="preserve">11.1.1.</w:t>
      </w:r>
      <w:r>
        <w:rPr>
          <w:rFonts w:ascii="Arial" w:hAnsi="Arial" w:cs="Arial"/>
          <w:b/>
        </w:rPr>
        <w:t xml:space="preserve">9.</w:t>
      </w:r>
      <w:r>
        <w:rPr>
          <w:rFonts w:ascii="Arial" w:hAnsi="Arial" w:cs="Arial"/>
        </w:rPr>
        <w:t xml:space="preserve"> Na ausência de previsão legal quanto ao índice substituto, as partes elegerão novo índice oficial, para reajustamento do preço do valor remanescente, por meio de termo aditivo.</w:t>
      </w:r>
      <w:r/>
    </w:p>
    <w:p w14:paraId="34177E63" w14:textId="77777777">
      <w:pPr>
        <w:pBdr/>
        <w:spacing/>
        <w:ind/>
        <w:jc w:val="both"/>
        <w:rPr>
          <w:rFonts w:ascii="Arial" w:hAnsi="Arial" w:cs="Arial"/>
        </w:rPr>
      </w:pPr>
      <w:r>
        <w:rPr>
          <w:rFonts w:ascii="Arial" w:hAnsi="Arial" w:cs="Arial"/>
        </w:rPr>
      </w:r>
      <w:r>
        <w:rPr>
          <w:rFonts w:ascii="Arial" w:hAnsi="Arial" w:cs="Arial"/>
        </w:rPr>
      </w:r>
    </w:p>
    <w:p w14:paraId="04586AFB" w14:textId="77777777">
      <w:pPr>
        <w:pBdr/>
        <w:spacing/>
        <w:ind/>
        <w:jc w:val="both"/>
        <w:rPr/>
      </w:pPr>
      <w:r>
        <w:rPr>
          <w:rFonts w:ascii="Arial" w:hAnsi="Arial" w:cs="Arial"/>
          <w:b/>
          <w:bCs/>
          <w:iCs/>
          <w:spacing w:val="-1"/>
          <w:lang w:eastAsia="pt-BR"/>
        </w:rPr>
        <w:t xml:space="preserve">11.1.1.</w:t>
      </w:r>
      <w:r>
        <w:rPr>
          <w:rFonts w:ascii="Arial" w:hAnsi="Arial" w:cs="Arial"/>
          <w:b/>
        </w:rPr>
        <w:t xml:space="preserve">10</w:t>
      </w:r>
      <w:r>
        <w:rPr>
          <w:rFonts w:ascii="Arial" w:hAnsi="Arial" w:cs="Arial"/>
        </w:rPr>
        <w:t xml:space="preserve">. O reajuste será realizado por apostilamento.</w:t>
      </w:r>
      <w:r>
        <w:t xml:space="preserve"> </w:t>
      </w:r>
      <w:r/>
    </w:p>
    <w:p w14:paraId="4F0CD432" w14:textId="77777777">
      <w:pPr>
        <w:pBdr/>
        <w:spacing/>
        <w:ind/>
        <w:jc w:val="both"/>
        <w:rPr/>
      </w:pPr>
      <w:r/>
      <w:r/>
    </w:p>
    <w:p w14:paraId="3A355C6A" w14:textId="77777777">
      <w:pPr>
        <w:pBdr/>
        <w:spacing/>
        <w:ind/>
        <w:jc w:val="both"/>
        <w:rPr>
          <w:rFonts w:ascii="Arial" w:hAnsi="Arial" w:cs="Arial"/>
          <w:b/>
        </w:rPr>
      </w:pPr>
      <w:r>
        <w:rPr>
          <w:rFonts w:ascii="Arial" w:hAnsi="Arial" w:cs="Arial"/>
          <w:b/>
        </w:rPr>
        <w:t xml:space="preserve">11.2. DA REVISÃO</w:t>
      </w:r>
      <w:r>
        <w:rPr>
          <w:rFonts w:ascii="Arial" w:hAnsi="Arial" w:cs="Arial"/>
          <w:b/>
        </w:rPr>
      </w:r>
    </w:p>
    <w:p w14:paraId="2C27335D" w14:textId="77777777">
      <w:pPr>
        <w:pBdr/>
        <w:spacing/>
        <w:ind/>
        <w:jc w:val="both"/>
        <w:rPr>
          <w:rFonts w:ascii="Arial" w:hAnsi="Arial" w:cs="Arial"/>
          <w:b/>
        </w:rPr>
      </w:pPr>
      <w:r>
        <w:rPr>
          <w:rFonts w:ascii="Arial" w:hAnsi="Arial" w:cs="Arial"/>
          <w:b/>
        </w:rPr>
      </w:r>
      <w:r>
        <w:rPr>
          <w:rFonts w:ascii="Arial" w:hAnsi="Arial" w:cs="Arial"/>
          <w:b/>
        </w:rPr>
      </w:r>
    </w:p>
    <w:p w14:paraId="76EA3CFD" w14:textId="77777777">
      <w:pPr>
        <w:pBdr/>
        <w:spacing/>
        <w:ind/>
        <w:jc w:val="both"/>
        <w:rPr>
          <w:rFonts w:ascii="Arial" w:hAnsi="Arial" w:cs="Arial"/>
          <w:color w:val="000000"/>
        </w:rPr>
      </w:pPr>
      <w:r>
        <w:rPr>
          <w:rFonts w:ascii="Arial" w:hAnsi="Arial" w:cs="Arial"/>
          <w:b/>
        </w:rPr>
        <w:t xml:space="preserve">11.2.</w:t>
      </w:r>
      <w:r>
        <w:rPr>
          <w:rFonts w:ascii="Arial" w:hAnsi="Arial" w:cs="Arial"/>
          <w:b/>
          <w:color w:val="000000"/>
        </w:rPr>
        <w:t xml:space="preserve">1.</w:t>
      </w:r>
      <w:r>
        <w:rPr>
          <w:rFonts w:ascii="Arial" w:hAnsi="Arial" w:cs="Arial"/>
          <w:color w:val="000000"/>
        </w:rPr>
        <w:t xml:space="preserve"> O contrato poderá ser alterado na forma do artigo 124 e seguintes da Lei nº 14.133/2021 e Decreto Municipal nº 11.685/2023.</w:t>
      </w:r>
      <w:r>
        <w:rPr>
          <w:rFonts w:ascii="Arial" w:hAnsi="Arial" w:cs="Arial"/>
          <w:color w:val="000000"/>
        </w:rPr>
      </w:r>
    </w:p>
    <w:p w14:paraId="1332BDAF"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1CA39B26" w14:textId="77777777">
      <w:pPr>
        <w:pBdr/>
        <w:spacing/>
        <w:ind/>
        <w:jc w:val="both"/>
        <w:rPr>
          <w:rFonts w:ascii="Arial" w:hAnsi="Arial" w:cs="Arial"/>
          <w:color w:val="000000"/>
        </w:rPr>
      </w:pPr>
      <w:r>
        <w:rPr>
          <w:rFonts w:ascii="Arial" w:hAnsi="Arial" w:cs="Arial"/>
          <w:b/>
        </w:rPr>
        <w:t xml:space="preserve">11.2</w:t>
      </w:r>
      <w:r>
        <w:rPr>
          <w:rFonts w:ascii="Arial" w:hAnsi="Arial" w:cs="Arial"/>
          <w:b/>
          <w:color w:val="000000"/>
        </w:rPr>
        <w:t xml:space="preserve">.2.</w:t>
      </w:r>
      <w:r>
        <w:rPr>
          <w:rFonts w:ascii="Arial" w:hAnsi="Arial" w:cs="Arial"/>
          <w:color w:val="000000"/>
        </w:rPr>
        <w:t xml:space="preserve"> A contratada é obrigada a aceitar, nas mesmas condições contratuais, os acréscimos ou supressões que se fizerem necessários, até o limite de 25% (vinte e cinco por cento) do valor inicial atualizado do contrato.</w:t>
      </w:r>
      <w:r>
        <w:rPr>
          <w:rFonts w:ascii="Arial" w:hAnsi="Arial" w:cs="Arial"/>
          <w:color w:val="000000"/>
        </w:rPr>
      </w:r>
    </w:p>
    <w:p w14:paraId="4B83B99A"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177416A6" w14:textId="77777777">
      <w:pPr>
        <w:pBdr/>
        <w:spacing/>
        <w:ind/>
        <w:jc w:val="both"/>
        <w:rPr>
          <w:rFonts w:ascii="Arial" w:hAnsi="Arial" w:cs="Arial"/>
          <w:color w:val="000000"/>
        </w:rPr>
      </w:pPr>
      <w:r>
        <w:rPr>
          <w:rFonts w:ascii="Arial" w:hAnsi="Arial" w:cs="Arial"/>
          <w:b/>
        </w:rPr>
        <w:t xml:space="preserve">11.2.</w:t>
      </w:r>
      <w:r>
        <w:rPr>
          <w:rFonts w:ascii="Arial" w:hAnsi="Arial" w:cs="Arial"/>
          <w:b/>
          <w:color w:val="000000"/>
        </w:rPr>
        <w:t xml:space="preserve">3.</w:t>
      </w:r>
      <w:r>
        <w:rPr>
          <w:rFonts w:ascii="Arial" w:hAnsi="Arial" w:cs="Arial"/>
          <w:color w:val="000000"/>
        </w:rPr>
        <w:t xml:space="preserve"> Registros que não caracterizam alteração do contrato podem ser realizados por simples apostila, dispensada a celebração de termo aditivo, na forma do artigo 136 da Lei nº 14.133, de 2021.</w:t>
      </w:r>
      <w:r>
        <w:rPr>
          <w:rFonts w:ascii="Arial" w:hAnsi="Arial" w:cs="Arial"/>
          <w:color w:val="000000"/>
        </w:rPr>
      </w:r>
    </w:p>
    <w:p w14:paraId="5B959FA4"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161A3F68" w14:textId="77777777">
      <w:pPr>
        <w:pBdr/>
        <w:spacing/>
        <w:ind/>
        <w:jc w:val="both"/>
        <w:rPr>
          <w:rFonts w:ascii="Arial" w:hAnsi="Arial" w:cs="Arial"/>
          <w:color w:val="000000"/>
        </w:rPr>
      </w:pPr>
      <w:r>
        <w:rPr>
          <w:rFonts w:ascii="Arial" w:hAnsi="Arial" w:cs="Arial"/>
          <w:b/>
        </w:rPr>
        <w:t xml:space="preserve">11.2.</w:t>
      </w:r>
      <w:r>
        <w:rPr>
          <w:rFonts w:ascii="Arial" w:hAnsi="Arial" w:cs="Arial"/>
          <w:b/>
          <w:color w:val="000000"/>
        </w:rPr>
        <w:t xml:space="preserve">4.</w:t>
      </w:r>
      <w:r>
        <w:rPr>
          <w:rFonts w:ascii="Arial" w:hAnsi="Arial" w:cs="Arial"/>
          <w:color w:val="000000"/>
        </w:rPr>
        <w:t xml:space="preserve"> Durante a vigência do contrato</w:t>
      </w:r>
      <w:r>
        <w:rPr>
          <w:rFonts w:ascii="Arial" w:hAnsi="Arial" w:cs="Arial"/>
          <w:color w:val="000000"/>
        </w:rPr>
        <w:t xml:space="preserve"> a contratada poderá solicitar a revisão dos preços para manter o equilíbrio econômico-financeiro obtido na licitação, mediante a comprovação dos fatos previstos no artigo 124, inciso II, alínea “d”, da Lei nº 14.133/2021, conforme cláusula décima primeira</w:t>
      </w:r>
      <w:r>
        <w:rPr>
          <w:rFonts w:ascii="Arial" w:hAnsi="Arial" w:cs="Arial"/>
          <w:color w:val="000000"/>
        </w:rPr>
      </w:r>
    </w:p>
    <w:p w14:paraId="07FF30AE"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63FB4A04" w14:textId="77777777">
      <w:pPr>
        <w:pBdr/>
        <w:spacing/>
        <w:ind/>
        <w:jc w:val="both"/>
        <w:rPr>
          <w:rFonts w:ascii="Arial" w:hAnsi="Arial" w:cs="Arial"/>
          <w:color w:val="000000"/>
        </w:rPr>
      </w:pPr>
      <w:r>
        <w:rPr>
          <w:rFonts w:ascii="Arial" w:hAnsi="Arial" w:cs="Arial"/>
          <w:b/>
        </w:rPr>
        <w:t xml:space="preserve">11.2.</w:t>
      </w:r>
      <w:r>
        <w:rPr>
          <w:rFonts w:ascii="Arial" w:hAnsi="Arial" w:cs="Arial"/>
          <w:b/>
          <w:color w:val="000000"/>
        </w:rPr>
        <w:t xml:space="preserve">5.</w:t>
      </w:r>
      <w:r>
        <w:rPr>
          <w:rFonts w:ascii="Arial" w:hAnsi="Arial" w:cs="Arial"/>
          <w:color w:val="000000"/>
        </w:rPr>
        <w:t xml:space="preserve"> Os preços registrados poderão ser revisad</w:t>
      </w:r>
      <w:r>
        <w:rPr>
          <w:rFonts w:ascii="Arial" w:hAnsi="Arial" w:cs="Arial"/>
          <w:color w:val="000000"/>
        </w:rPr>
        <w:t xml:space="preserve">os para reestabelecer o equilíbrio econômico-financeiro quando, por motivo superveniente, restarem inviáveis de serem praticados em razão de força maior, caso fortuito, fato do príncipe ou fatos imprevisíveis ou previsíveis de consequências incalculáveis. </w:t>
      </w:r>
      <w:r>
        <w:rPr>
          <w:rFonts w:ascii="Arial" w:hAnsi="Arial" w:cs="Arial"/>
          <w:color w:val="000000"/>
        </w:rPr>
      </w:r>
    </w:p>
    <w:p w14:paraId="3A536E3E"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2DB924DB" w14:textId="77777777">
      <w:pPr>
        <w:pBdr/>
        <w:spacing/>
        <w:ind/>
        <w:jc w:val="both"/>
        <w:rPr>
          <w:rFonts w:ascii="Arial" w:hAnsi="Arial" w:cs="Arial"/>
          <w:color w:val="000000"/>
        </w:rPr>
      </w:pPr>
      <w:r>
        <w:rPr>
          <w:rFonts w:ascii="Arial" w:hAnsi="Arial" w:cs="Arial"/>
          <w:b/>
        </w:rPr>
        <w:t xml:space="preserve">11.2.</w:t>
      </w:r>
      <w:r>
        <w:rPr>
          <w:rFonts w:ascii="Arial" w:hAnsi="Arial" w:cs="Arial"/>
          <w:b/>
          <w:color w:val="000000"/>
        </w:rPr>
        <w:t xml:space="preserve">6.</w:t>
      </w:r>
      <w:r>
        <w:rPr>
          <w:rFonts w:ascii="Arial" w:hAnsi="Arial" w:cs="Arial"/>
          <w:color w:val="000000"/>
        </w:rPr>
        <w:t xml:space="preserve"> Os fornecedores que não aceitarem reduzir seus preços aos valores praticados pelo mercado serão liberados do compromisso assumido, sem aplicação de penalidade. </w:t>
      </w:r>
      <w:r>
        <w:rPr>
          <w:rFonts w:ascii="Arial" w:hAnsi="Arial" w:cs="Arial"/>
          <w:color w:val="000000"/>
        </w:rPr>
      </w:r>
    </w:p>
    <w:p w14:paraId="32C7A15A"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2F85D196" w14:textId="77777777">
      <w:pPr>
        <w:pBdr/>
        <w:spacing/>
        <w:ind/>
        <w:jc w:val="both"/>
        <w:rPr>
          <w:rFonts w:ascii="Arial" w:hAnsi="Arial" w:cs="Arial"/>
          <w:color w:val="000000"/>
        </w:rPr>
      </w:pPr>
      <w:r>
        <w:rPr>
          <w:rFonts w:ascii="Arial" w:hAnsi="Arial" w:cs="Arial"/>
          <w:b/>
        </w:rPr>
        <w:t xml:space="preserve">11.2.</w:t>
      </w:r>
      <w:r>
        <w:rPr>
          <w:rFonts w:ascii="Arial" w:hAnsi="Arial" w:cs="Arial"/>
          <w:b/>
          <w:color w:val="000000"/>
        </w:rPr>
        <w:t xml:space="preserve">7.</w:t>
      </w:r>
      <w:r>
        <w:rPr>
          <w:rFonts w:ascii="Arial" w:hAnsi="Arial" w:cs="Arial"/>
          <w:color w:val="000000"/>
        </w:rPr>
        <w:t xml:space="preserve"> O pedido de revisão de preços será processado e julgado pelo Órgão Gerenciador. </w:t>
      </w:r>
      <w:r>
        <w:rPr>
          <w:rFonts w:ascii="Arial" w:hAnsi="Arial" w:cs="Arial"/>
          <w:color w:val="000000"/>
        </w:rPr>
      </w:r>
    </w:p>
    <w:p w14:paraId="3BC643CE"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40240749" w14:textId="77777777">
      <w:pPr>
        <w:pBdr/>
        <w:spacing/>
        <w:ind/>
        <w:jc w:val="both"/>
        <w:rPr>
          <w:rFonts w:ascii="Arial" w:hAnsi="Arial" w:cs="Arial"/>
          <w:color w:val="000000"/>
        </w:rPr>
      </w:pPr>
      <w:r>
        <w:rPr>
          <w:rFonts w:ascii="Arial" w:hAnsi="Arial" w:cs="Arial"/>
          <w:b/>
        </w:rPr>
        <w:t xml:space="preserve">11.2.</w:t>
      </w:r>
      <w:r>
        <w:rPr>
          <w:rFonts w:ascii="Arial" w:hAnsi="Arial" w:cs="Arial"/>
          <w:b/>
          <w:color w:val="000000"/>
        </w:rPr>
        <w:t xml:space="preserve">8. </w:t>
      </w:r>
      <w:r>
        <w:rPr>
          <w:rFonts w:ascii="Arial" w:hAnsi="Arial" w:cs="Arial"/>
          <w:color w:val="000000"/>
        </w:rPr>
        <w:t xml:space="preserve">Nos casos em que a majoração do preço for pleiteada pela DETENTORA, o ÓRGÃO GERENCIADOR analisará a solicitação de revi</w:t>
      </w:r>
      <w:r>
        <w:rPr>
          <w:rFonts w:ascii="Arial" w:hAnsi="Arial" w:cs="Arial"/>
          <w:color w:val="000000"/>
        </w:rPr>
        <w:t xml:space="preserve">são do preço registrado a partir da fundamentação e do conjunto probatório apresentados, em cotejo com pesquisa de mercado atualizada e diligências que se mostrem necessárias para avaliação do pedido, mantendo a economia obtida no procedimento licitatório.</w:t>
      </w:r>
      <w:r>
        <w:rPr>
          <w:rFonts w:ascii="Arial" w:hAnsi="Arial" w:cs="Arial"/>
          <w:color w:val="000000"/>
        </w:rPr>
      </w:r>
    </w:p>
    <w:p w14:paraId="41384001"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25FC40F4" w14:textId="77777777">
      <w:pPr>
        <w:pBdr/>
        <w:spacing/>
        <w:ind/>
        <w:jc w:val="both"/>
        <w:rPr>
          <w:rFonts w:ascii="Arial" w:hAnsi="Arial" w:cs="Arial"/>
          <w:color w:val="000000"/>
        </w:rPr>
      </w:pPr>
      <w:r>
        <w:rPr>
          <w:rFonts w:ascii="Arial" w:hAnsi="Arial" w:cs="Arial"/>
          <w:b/>
        </w:rPr>
        <w:t xml:space="preserve">11.2.</w:t>
      </w:r>
      <w:r>
        <w:rPr>
          <w:rFonts w:ascii="Arial" w:hAnsi="Arial" w:cs="Arial"/>
          <w:b/>
          <w:color w:val="000000"/>
        </w:rPr>
        <w:t xml:space="preserve">9.</w:t>
      </w:r>
      <w:r>
        <w:rPr>
          <w:rFonts w:ascii="Arial" w:hAnsi="Arial" w:cs="Arial"/>
          <w:color w:val="000000"/>
        </w:rPr>
        <w:t xml:space="preserve"> </w:t>
      </w:r>
      <w:r>
        <w:rPr>
          <w:rFonts w:ascii="Arial" w:hAnsi="Arial" w:cs="Arial"/>
          <w:color w:val="000000"/>
          <w:u w:val="single"/>
        </w:rPr>
        <w:t xml:space="preserve">Após 30 (trinta) dias do aceite do requerimento de revisão pelo ÓRGÃO GERENCIADOR, e sem manifestação conclusiva deste, poderá a DETENTORA comunicar formalmente ao ÓRGÃO GERENCIADOR a recusa de novos pedidos de entrega de bens ou de prestação de serviços.</w:t>
      </w:r>
      <w:r>
        <w:rPr>
          <w:rFonts w:ascii="Arial" w:hAnsi="Arial" w:cs="Arial"/>
          <w:color w:val="000000"/>
        </w:rPr>
      </w:r>
    </w:p>
    <w:p w14:paraId="59549B45"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1DD57C9C" w14:textId="77777777">
      <w:pPr>
        <w:pBdr/>
        <w:spacing/>
        <w:ind/>
        <w:jc w:val="both"/>
        <w:rPr>
          <w:rFonts w:ascii="Arial" w:hAnsi="Arial" w:cs="Arial"/>
          <w:color w:val="000000"/>
        </w:rPr>
      </w:pPr>
      <w:r>
        <w:rPr>
          <w:rFonts w:ascii="Arial" w:hAnsi="Arial" w:cs="Arial"/>
          <w:b/>
        </w:rPr>
        <w:t xml:space="preserve">11.2.</w:t>
      </w:r>
      <w:r>
        <w:rPr>
          <w:rFonts w:ascii="Arial" w:hAnsi="Arial" w:cs="Arial"/>
          <w:b/>
          <w:color w:val="000000"/>
        </w:rPr>
        <w:t xml:space="preserve">10.</w:t>
      </w:r>
      <w:r>
        <w:rPr>
          <w:rFonts w:ascii="Arial" w:hAnsi="Arial" w:cs="Arial"/>
          <w:color w:val="000000"/>
        </w:rPr>
        <w:t xml:space="preserve"> Durante este prazo de 30 dias, a DETENTORA fica obrigado a manter as condições pactuadas quando da assinatura da ata.</w:t>
      </w:r>
      <w:r>
        <w:rPr>
          <w:rFonts w:ascii="Arial" w:hAnsi="Arial" w:cs="Arial"/>
          <w:color w:val="000000"/>
        </w:rPr>
      </w:r>
    </w:p>
    <w:p w14:paraId="221A3EA5"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63E20ED7" w14:textId="77777777">
      <w:pPr>
        <w:pBdr/>
        <w:spacing/>
        <w:ind/>
        <w:jc w:val="both"/>
        <w:rPr>
          <w:rFonts w:ascii="Arial" w:hAnsi="Arial" w:cs="Arial"/>
          <w:color w:val="000000"/>
        </w:rPr>
      </w:pPr>
      <w:r>
        <w:rPr>
          <w:rFonts w:ascii="Arial" w:hAnsi="Arial" w:cs="Arial"/>
          <w:b/>
        </w:rPr>
        <w:t xml:space="preserve">11.2.</w:t>
      </w:r>
      <w:r>
        <w:rPr>
          <w:rFonts w:ascii="Arial" w:hAnsi="Arial" w:cs="Arial"/>
          <w:b/>
          <w:color w:val="000000"/>
        </w:rPr>
        <w:t xml:space="preserve">11.</w:t>
      </w:r>
      <w:r>
        <w:rPr>
          <w:rFonts w:ascii="Arial" w:hAnsi="Arial" w:cs="Arial"/>
          <w:color w:val="000000"/>
        </w:rPr>
        <w:t xml:space="preserve"> Ocorrendo umas das hipóteses previstas na alínea “d” do inciso II do artigo 124 da Lei n. 14</w:t>
      </w:r>
      <w:r>
        <w:rPr>
          <w:rFonts w:ascii="Arial" w:hAnsi="Arial" w:cs="Arial"/>
          <w:color w:val="000000"/>
        </w:rPr>
        <w:t xml:space="preserve">.133/2021, poderá haver a repactuação, reajuste, revisão ou realinhamento, onde deverão ser precedidos de demonstração analítica do aumento dos custos, bem como análise Técnico Contábil do setor Financeiro e Jurídica da Assessoria Jurídica deste Município.</w:t>
      </w:r>
      <w:r>
        <w:rPr>
          <w:rFonts w:ascii="Arial" w:hAnsi="Arial" w:cs="Arial"/>
          <w:color w:val="000000"/>
        </w:rPr>
      </w:r>
    </w:p>
    <w:p w14:paraId="72603235"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6F730EDE" w14:textId="77777777">
      <w:pPr>
        <w:pBdr/>
        <w:spacing/>
        <w:ind/>
        <w:jc w:val="both"/>
        <w:rPr>
          <w:rFonts w:ascii="Arial" w:hAnsi="Arial" w:cs="Arial"/>
          <w:color w:val="000000"/>
        </w:rPr>
      </w:pPr>
      <w:r>
        <w:rPr>
          <w:rFonts w:ascii="Arial" w:hAnsi="Arial" w:cs="Arial"/>
          <w:b/>
        </w:rPr>
        <w:t xml:space="preserve">11.2.</w:t>
      </w:r>
      <w:r>
        <w:rPr>
          <w:rFonts w:ascii="Arial" w:hAnsi="Arial" w:cs="Arial"/>
          <w:b/>
          <w:color w:val="000000"/>
        </w:rPr>
        <w:t xml:space="preserve">11.1.</w:t>
      </w:r>
      <w:r>
        <w:rPr>
          <w:rFonts w:ascii="Arial" w:hAnsi="Arial" w:cs="Arial"/>
          <w:color w:val="000000"/>
        </w:rPr>
        <w:t xml:space="preserve"> O prazo para resposta ao pedido de repactuação de preços, quando for o caso, será de até 30 (trinta) úteis dias prorrogáveis por igual período. (Art. 92 Inciso X da Lei 14.133/2021).</w:t>
      </w:r>
      <w:r>
        <w:rPr>
          <w:rFonts w:ascii="Arial" w:hAnsi="Arial" w:cs="Arial"/>
          <w:color w:val="000000"/>
        </w:rPr>
      </w:r>
    </w:p>
    <w:p w14:paraId="2C0E3EFB" w14:textId="77777777">
      <w:pPr>
        <w:pBdr/>
        <w:spacing/>
        <w:ind/>
        <w:jc w:val="both"/>
        <w:rPr>
          <w:rFonts w:ascii="Arial" w:hAnsi="Arial" w:cs="Arial"/>
          <w:color w:val="000000"/>
        </w:rPr>
      </w:pPr>
      <w:r>
        <w:rPr>
          <w:rFonts w:ascii="Arial" w:hAnsi="Arial" w:cs="Arial"/>
          <w:color w:val="000000"/>
        </w:rPr>
      </w:r>
      <w:r>
        <w:rPr>
          <w:rFonts w:ascii="Arial" w:hAnsi="Arial" w:cs="Arial"/>
          <w:color w:val="000000"/>
        </w:rPr>
      </w:r>
    </w:p>
    <w:p w14:paraId="3992DF0D" w14:textId="77777777">
      <w:pPr>
        <w:pBdr/>
        <w:spacing/>
        <w:ind/>
        <w:jc w:val="both"/>
        <w:rPr>
          <w:rFonts w:ascii="Arial" w:hAnsi="Arial" w:cs="Arial"/>
          <w:color w:val="000000"/>
        </w:rPr>
      </w:pPr>
      <w:r>
        <w:rPr>
          <w:rFonts w:ascii="Arial" w:hAnsi="Arial" w:cs="Arial"/>
          <w:b/>
        </w:rPr>
        <w:t xml:space="preserve">11.2.</w:t>
      </w:r>
      <w:r>
        <w:rPr>
          <w:rFonts w:ascii="Arial" w:hAnsi="Arial" w:cs="Arial"/>
          <w:b/>
          <w:color w:val="000000"/>
        </w:rPr>
        <w:t xml:space="preserve">11.2.</w:t>
      </w:r>
      <w:r>
        <w:rPr>
          <w:rFonts w:ascii="Arial" w:hAnsi="Arial" w:cs="Arial"/>
          <w:color w:val="000000"/>
        </w:rPr>
        <w:t xml:space="preserve"> O prazo para resposta ao pedido de restabelecimento do equilíbrio econômico-financeiro, quando for o caso¸ será de até 30 (trinta) úteis dias prorrogáveis por igual período. (Art. 92 Inciso XI da Lei 14.133/2021).</w:t>
      </w:r>
      <w:r>
        <w:rPr>
          <w:rFonts w:ascii="Arial" w:hAnsi="Arial" w:cs="Arial"/>
          <w:color w:val="000000"/>
        </w:rPr>
      </w:r>
    </w:p>
    <w:p w14:paraId="5283D495" w14:textId="77777777">
      <w:pPr>
        <w:pBdr/>
        <w:spacing/>
        <w:ind/>
        <w:jc w:val="both"/>
        <w:rPr>
          <w:rFonts w:ascii="Arial" w:hAnsi="Arial" w:cs="Arial"/>
        </w:rPr>
      </w:pPr>
      <w:r>
        <w:rPr>
          <w:rFonts w:ascii="Arial" w:hAnsi="Arial" w:cs="Arial"/>
        </w:rPr>
      </w:r>
      <w:r>
        <w:rPr>
          <w:rFonts w:ascii="Arial" w:hAnsi="Arial" w:cs="Arial"/>
        </w:rPr>
      </w:r>
    </w:p>
    <w:p w14:paraId="267F3052" w14:textId="77777777">
      <w:pPr>
        <w:pBdr/>
        <w:spacing/>
        <w:ind w:right="-5"/>
        <w:rPr/>
      </w:pPr>
      <w:r>
        <w:rPr>
          <w:rFonts w:ascii="Arial" w:hAnsi="Arial" w:cs="Arial"/>
          <w:b/>
        </w:rPr>
        <w:t xml:space="preserve">CLÁUSULA DÉCIMA SEGUNDA – DA VIGÊNCIA:</w:t>
      </w:r>
      <w:r/>
    </w:p>
    <w:p w14:paraId="786D8B9C" w14:textId="77777777">
      <w:pPr>
        <w:pBdr/>
        <w:spacing/>
        <w:ind/>
        <w:jc w:val="both"/>
        <w:rPr>
          <w:rFonts w:ascii="Arial" w:hAnsi="Arial" w:cs="Arial"/>
          <w:b/>
        </w:rPr>
      </w:pPr>
      <w:r>
        <w:rPr>
          <w:rFonts w:ascii="Arial" w:hAnsi="Arial" w:cs="Arial"/>
          <w:b/>
        </w:rPr>
      </w:r>
      <w:r>
        <w:rPr>
          <w:rFonts w:ascii="Arial" w:hAnsi="Arial" w:cs="Arial"/>
          <w:b/>
        </w:rPr>
      </w:r>
    </w:p>
    <w:p w14:paraId="1D91C700" w14:textId="24E618D6">
      <w:pPr>
        <w:pBdr/>
        <w:spacing/>
        <w:ind/>
        <w:jc w:val="both"/>
        <w:rPr>
          <w:rFonts w:ascii="Arial" w:hAnsi="Arial" w:cs="Arial"/>
        </w:rPr>
      </w:pPr>
      <w:r>
        <w:rPr>
          <w:rFonts w:ascii="Arial" w:hAnsi="Arial" w:cs="Arial"/>
          <w:b/>
        </w:rPr>
        <w:t xml:space="preserve">12.1</w:t>
      </w:r>
      <w:r>
        <w:rPr>
          <w:rFonts w:ascii="Arial" w:hAnsi="Arial" w:cs="Arial"/>
        </w:rPr>
        <w:t xml:space="preserve">. </w:t>
      </w:r>
      <w:r>
        <w:rPr>
          <w:rFonts w:ascii="Arial" w:hAnsi="Arial" w:cs="Arial"/>
          <w:u w:val="single"/>
        </w:rPr>
        <w:t xml:space="preserve">1.8. O contrato futuro a ser celebrado terá vigência de 12 (doze) meses, contados a partir de sua assinatura, podendo ser prorrogado, mediante</w:t>
      </w:r>
      <w:r>
        <w:rPr>
          <w:rFonts w:ascii="Arial" w:hAnsi="Arial" w:cs="Arial"/>
          <w:u w:val="single"/>
        </w:rPr>
        <w:t xml:space="preserve"> decisão motivada da Administração, desde que demonstrada, de forma expressa, a vantajosidade da prorrogação, o interesse público e o atendimento dos requisitos legais, nos termos do art. 107 da Lei nº 14.133/2021, observada a natureza contínua do serviço.</w:t>
      </w:r>
      <w:r>
        <w:rPr>
          <w:rFonts w:ascii="Arial" w:hAnsi="Arial" w:cs="Arial"/>
        </w:rPr>
      </w:r>
    </w:p>
    <w:p w14:paraId="7C8C110E" w14:textId="77777777">
      <w:pPr>
        <w:pBdr/>
        <w:spacing/>
        <w:ind/>
        <w:jc w:val="both"/>
        <w:rPr>
          <w:rFonts w:ascii="Arial" w:hAnsi="Arial" w:cs="Arial"/>
        </w:rPr>
      </w:pPr>
      <w:r>
        <w:rPr>
          <w:rFonts w:ascii="Arial" w:hAnsi="Arial" w:cs="Arial"/>
        </w:rPr>
      </w:r>
      <w:r>
        <w:rPr>
          <w:rFonts w:ascii="Arial" w:hAnsi="Arial" w:cs="Arial"/>
        </w:rPr>
      </w:r>
    </w:p>
    <w:p w14:paraId="24773FEC" w14:textId="77777777">
      <w:pPr>
        <w:pBdr/>
        <w:spacing/>
        <w:ind/>
        <w:jc w:val="both"/>
        <w:rPr/>
      </w:pPr>
      <w:r>
        <w:rPr>
          <w:rFonts w:ascii="Arial" w:hAnsi="Arial" w:cs="Arial"/>
          <w:b/>
        </w:rPr>
        <w:t xml:space="preserve">CLÁUSULA DÉCIMA TERCEIRA – DA ALTERAÇÃO DO CONTRATO</w:t>
      </w:r>
      <w:r>
        <w:rPr>
          <w:rFonts w:ascii="Arial" w:hAnsi="Arial" w:cs="Arial"/>
        </w:rPr>
        <w:t xml:space="preserve">:</w:t>
      </w:r>
      <w:r/>
    </w:p>
    <w:p w14:paraId="0DDC01B3" w14:textId="77777777">
      <w:pPr>
        <w:pBdr/>
        <w:spacing/>
        <w:ind/>
        <w:jc w:val="both"/>
        <w:rPr>
          <w:rFonts w:ascii="Arial" w:hAnsi="Arial" w:cs="Arial"/>
        </w:rPr>
      </w:pPr>
      <w:r>
        <w:rPr>
          <w:rFonts w:ascii="Arial" w:hAnsi="Arial" w:cs="Arial"/>
        </w:rPr>
      </w:r>
      <w:r>
        <w:rPr>
          <w:rFonts w:ascii="Arial" w:hAnsi="Arial" w:cs="Arial"/>
        </w:rPr>
      </w:r>
    </w:p>
    <w:p w14:paraId="4C39F603" w14:textId="77777777">
      <w:pPr>
        <w:pBdr/>
        <w:spacing/>
        <w:ind/>
        <w:jc w:val="both"/>
        <w:rPr/>
      </w:pPr>
      <w:r>
        <w:rPr>
          <w:rFonts w:ascii="Arial" w:hAnsi="Arial" w:cs="Arial"/>
          <w:b/>
        </w:rPr>
        <w:t xml:space="preserve">13.1.</w:t>
      </w:r>
      <w:r>
        <w:rPr>
          <w:rFonts w:ascii="Arial" w:hAnsi="Arial" w:cs="Arial"/>
        </w:rPr>
        <w:t xml:space="preserve"> O contrato poderá ser alterado na forma do artigo 124 e seguintes da Lei nº 14.133/2021 e Decreto Municipal nº 11.685/2023.</w:t>
      </w:r>
      <w:r/>
    </w:p>
    <w:p w14:paraId="669F9D97" w14:textId="77777777">
      <w:pPr>
        <w:pBdr/>
        <w:spacing/>
        <w:ind/>
        <w:jc w:val="both"/>
        <w:rPr>
          <w:rFonts w:ascii="Arial" w:hAnsi="Arial" w:cs="Arial"/>
        </w:rPr>
      </w:pPr>
      <w:r>
        <w:rPr>
          <w:rFonts w:ascii="Arial" w:hAnsi="Arial" w:cs="Arial"/>
        </w:rPr>
      </w:r>
      <w:r>
        <w:rPr>
          <w:rFonts w:ascii="Arial" w:hAnsi="Arial" w:cs="Arial"/>
        </w:rPr>
      </w:r>
    </w:p>
    <w:p w14:paraId="146D9528" w14:textId="77777777">
      <w:pPr>
        <w:pBdr/>
        <w:spacing/>
        <w:ind/>
        <w:jc w:val="both"/>
        <w:rPr/>
      </w:pPr>
      <w:r>
        <w:rPr>
          <w:rFonts w:ascii="Arial" w:hAnsi="Arial" w:cs="Arial"/>
          <w:b/>
        </w:rPr>
        <w:t xml:space="preserve">13.2.</w:t>
      </w:r>
      <w:r>
        <w:rPr>
          <w:rFonts w:ascii="Arial" w:hAnsi="Arial" w:cs="Arial"/>
        </w:rPr>
        <w:t xml:space="preserve"> O contratado é obrigado a aceitar, nas mesmas condições contratuais, os acréscimos ou supressões que se fizerem necessários, até o limite de 25% (vinte e cinco por cento) do valor inicial atualizado do contrato.</w:t>
      </w:r>
      <w:r/>
    </w:p>
    <w:p w14:paraId="4AFFD734" w14:textId="77777777">
      <w:pPr>
        <w:pBdr/>
        <w:spacing/>
        <w:ind/>
        <w:jc w:val="both"/>
        <w:rPr>
          <w:rFonts w:ascii="Arial" w:hAnsi="Arial" w:cs="Arial"/>
          <w:b/>
        </w:rPr>
      </w:pPr>
      <w:r>
        <w:rPr>
          <w:rFonts w:ascii="Arial" w:hAnsi="Arial" w:cs="Arial"/>
          <w:b/>
        </w:rPr>
      </w:r>
      <w:r>
        <w:rPr>
          <w:rFonts w:ascii="Arial" w:hAnsi="Arial" w:cs="Arial"/>
          <w:b/>
        </w:rPr>
      </w:r>
    </w:p>
    <w:p w14:paraId="53EFBE28" w14:textId="77777777">
      <w:pPr>
        <w:pBdr/>
        <w:spacing/>
        <w:ind/>
        <w:jc w:val="both"/>
        <w:rPr/>
      </w:pPr>
      <w:r>
        <w:rPr>
          <w:rFonts w:ascii="Arial" w:hAnsi="Arial" w:cs="Arial"/>
          <w:b/>
        </w:rPr>
        <w:t xml:space="preserve">13.3.</w:t>
      </w:r>
      <w:r>
        <w:rPr>
          <w:rFonts w:ascii="Arial" w:hAnsi="Arial" w:cs="Arial"/>
        </w:rPr>
        <w:t xml:space="preserve"> Registros que não caracterizam alteração do contrato podem ser realizados por simples apostila, dispensada a celebração de termo aditivo, na forma do artigo 136 da Lei nº 14.133, de 2021.</w:t>
      </w:r>
      <w:r/>
    </w:p>
    <w:p w14:paraId="2F5EDD53" w14:textId="77777777">
      <w:pPr>
        <w:pBdr/>
        <w:spacing/>
        <w:ind/>
        <w:jc w:val="both"/>
        <w:rPr>
          <w:rFonts w:ascii="Arial" w:hAnsi="Arial" w:cs="Arial"/>
        </w:rPr>
      </w:pPr>
      <w:r>
        <w:rPr>
          <w:rFonts w:ascii="Arial" w:hAnsi="Arial" w:cs="Arial"/>
        </w:rPr>
      </w:r>
      <w:r>
        <w:rPr>
          <w:rFonts w:ascii="Arial" w:hAnsi="Arial" w:cs="Arial"/>
        </w:rPr>
      </w:r>
    </w:p>
    <w:p w14:paraId="655D75FE" w14:textId="77777777">
      <w:pPr>
        <w:pBdr/>
        <w:spacing/>
        <w:ind/>
        <w:jc w:val="both"/>
        <w:rPr/>
      </w:pPr>
      <w:r>
        <w:rPr>
          <w:rFonts w:ascii="Arial" w:hAnsi="Arial" w:cs="Arial"/>
          <w:b/>
        </w:rPr>
        <w:t xml:space="preserve">13.4.</w:t>
      </w:r>
      <w:r>
        <w:rPr>
          <w:rFonts w:ascii="Arial" w:hAnsi="Arial" w:cs="Arial"/>
        </w:rPr>
        <w:t xml:space="preserve"> Durante a vigência do contrato </w:t>
      </w:r>
      <w:r>
        <w:rPr>
          <w:rFonts w:ascii="Arial" w:hAnsi="Arial" w:cs="Arial"/>
        </w:rPr>
        <w:t xml:space="preserve">o contratado poderá solicitar a revisão dos preços para manter o equilíbrio econômico-financeiro obtido na licitação, mediante a comprovação dos fatos previstos no artigo 124, inciso II, alínea “d”, da Lei nº 14.133/2021, conforme cláusula décima primeira.</w:t>
      </w:r>
      <w:r/>
    </w:p>
    <w:p w14:paraId="4D847DFE" w14:textId="77777777">
      <w:pPr>
        <w:pBdr/>
        <w:spacing/>
        <w:ind/>
        <w:jc w:val="both"/>
        <w:rPr/>
      </w:pPr>
      <w:r>
        <w:rPr>
          <w:rFonts w:ascii="Arial" w:hAnsi="Arial" w:cs="Arial"/>
          <w:b/>
        </w:rPr>
        <w:t xml:space="preserve">CLÁUSULA DÉCIMA QUARTA – DA EXTINÇÃO DO CONTRATO</w:t>
      </w:r>
      <w:r>
        <w:rPr>
          <w:rFonts w:ascii="Arial" w:hAnsi="Arial" w:cs="Arial"/>
        </w:rPr>
        <w:t xml:space="preserve">:</w:t>
      </w:r>
      <w:r/>
    </w:p>
    <w:p w14:paraId="6EE2689D" w14:textId="77777777">
      <w:pPr>
        <w:pBdr/>
        <w:spacing/>
        <w:ind/>
        <w:jc w:val="both"/>
        <w:rPr>
          <w:rFonts w:ascii="Arial" w:hAnsi="Arial" w:cs="Arial"/>
        </w:rPr>
      </w:pPr>
      <w:r>
        <w:rPr>
          <w:rFonts w:ascii="Arial" w:hAnsi="Arial" w:cs="Arial"/>
        </w:rPr>
      </w:r>
      <w:r>
        <w:rPr>
          <w:rFonts w:ascii="Arial" w:hAnsi="Arial" w:cs="Arial"/>
        </w:rPr>
      </w:r>
    </w:p>
    <w:p w14:paraId="7ED44C16" w14:textId="77777777">
      <w:pPr>
        <w:pBdr/>
        <w:spacing/>
        <w:ind/>
        <w:jc w:val="both"/>
        <w:rPr/>
      </w:pPr>
      <w:r>
        <w:rPr>
          <w:rFonts w:ascii="Arial" w:hAnsi="Arial" w:cs="Arial"/>
          <w:b/>
        </w:rPr>
        <w:t xml:space="preserve">14.1.</w:t>
      </w:r>
      <w:r>
        <w:rPr>
          <w:rFonts w:ascii="Arial" w:hAnsi="Arial" w:cs="Arial"/>
        </w:rPr>
        <w:t xml:space="preserve"> O contrato se extingue quando cumpridas as obrigações de ambas as partes, ainda que isso ocorra antes do prazo estipulado para tanto.</w:t>
      </w:r>
      <w:r/>
    </w:p>
    <w:p w14:paraId="3177EE57" w14:textId="77777777">
      <w:pPr>
        <w:pBdr/>
        <w:spacing/>
        <w:ind/>
        <w:jc w:val="both"/>
        <w:rPr>
          <w:rFonts w:ascii="Arial" w:hAnsi="Arial" w:cs="Arial"/>
        </w:rPr>
      </w:pPr>
      <w:r>
        <w:rPr>
          <w:rFonts w:ascii="Arial" w:hAnsi="Arial" w:cs="Arial"/>
        </w:rPr>
      </w:r>
      <w:r>
        <w:rPr>
          <w:rFonts w:ascii="Arial" w:hAnsi="Arial" w:cs="Arial"/>
        </w:rPr>
      </w:r>
    </w:p>
    <w:p w14:paraId="60FF4D4E" w14:textId="77777777">
      <w:pPr>
        <w:pBdr/>
        <w:spacing/>
        <w:ind/>
        <w:jc w:val="both"/>
        <w:rPr/>
      </w:pPr>
      <w:r>
        <w:rPr>
          <w:rFonts w:ascii="Arial" w:hAnsi="Arial" w:cs="Arial"/>
          <w:b/>
        </w:rPr>
        <w:t xml:space="preserve">14.2.</w:t>
      </w:r>
      <w:r>
        <w:rPr>
          <w:rFonts w:ascii="Arial" w:hAnsi="Arial" w:cs="Arial"/>
        </w:rPr>
        <w:t xml:space="preserve"> O presente termo de contrato poderá ser extinto nas hipóteses previstas no rol do</w:t>
      </w:r>
      <w:r>
        <w:rPr>
          <w:rFonts w:ascii="Arial" w:hAnsi="Arial" w:cs="Arial"/>
        </w:rPr>
        <w:t xml:space="preserve"> artigo 137 da Lei nº 14.133/202, devendo a extinção ser formalmente motivada nos autos do processo, assegurado o contraditório e ampla defesa e respeitados os procedimentos descritos no Decreto Municipal nº 11.685/2023 e nas demais legislações aplicáveis.</w:t>
      </w:r>
      <w:r/>
    </w:p>
    <w:p w14:paraId="3D45910A" w14:textId="77777777">
      <w:pPr>
        <w:pBdr/>
        <w:spacing/>
        <w:ind/>
        <w:jc w:val="both"/>
        <w:rPr>
          <w:rFonts w:ascii="Arial" w:hAnsi="Arial" w:cs="Arial"/>
        </w:rPr>
      </w:pPr>
      <w:r>
        <w:rPr>
          <w:rFonts w:ascii="Arial" w:hAnsi="Arial" w:cs="Arial"/>
        </w:rPr>
      </w:r>
      <w:r>
        <w:rPr>
          <w:rFonts w:ascii="Arial" w:hAnsi="Arial" w:cs="Arial"/>
        </w:rPr>
      </w:r>
    </w:p>
    <w:p w14:paraId="30D9EF18" w14:textId="77777777">
      <w:pPr>
        <w:pBdr/>
        <w:spacing/>
        <w:ind/>
        <w:jc w:val="both"/>
        <w:rPr/>
      </w:pPr>
      <w:r>
        <w:rPr>
          <w:rFonts w:ascii="Arial" w:hAnsi="Arial" w:cs="Arial"/>
          <w:b/>
        </w:rPr>
        <w:t xml:space="preserve">14.2.1.</w:t>
      </w:r>
      <w:r>
        <w:rPr>
          <w:rFonts w:ascii="Arial" w:hAnsi="Arial" w:cs="Arial"/>
        </w:rPr>
        <w:t xml:space="preserve"> Nesta hipótese, aplicam-se também os artigos 138 e 139 da Lei 14.133/2021.</w:t>
      </w:r>
      <w:r/>
    </w:p>
    <w:p w14:paraId="33B649FB" w14:textId="77777777">
      <w:pPr>
        <w:pBdr/>
        <w:spacing/>
        <w:ind/>
        <w:jc w:val="both"/>
        <w:rPr>
          <w:rFonts w:ascii="Arial" w:hAnsi="Arial" w:cs="Arial"/>
        </w:rPr>
      </w:pPr>
      <w:r>
        <w:rPr>
          <w:rFonts w:ascii="Arial" w:hAnsi="Arial" w:cs="Arial"/>
        </w:rPr>
      </w:r>
      <w:r>
        <w:rPr>
          <w:rFonts w:ascii="Arial" w:hAnsi="Arial" w:cs="Arial"/>
        </w:rPr>
      </w:r>
    </w:p>
    <w:p w14:paraId="7340E8FD" w14:textId="77777777">
      <w:pPr>
        <w:pBdr/>
        <w:spacing/>
        <w:ind/>
        <w:jc w:val="both"/>
        <w:rPr/>
      </w:pPr>
      <w:r>
        <w:rPr>
          <w:rFonts w:ascii="Arial" w:hAnsi="Arial" w:cs="Arial"/>
          <w:b/>
        </w:rPr>
        <w:t xml:space="preserve">14.2.2.</w:t>
      </w:r>
      <w:r>
        <w:rPr>
          <w:rFonts w:ascii="Arial" w:hAnsi="Arial" w:cs="Arial"/>
        </w:rPr>
        <w:t xml:space="preserve"> A alteração social ou a modificação da finalidade ou da estrutura da empresa não ensejará a rescisão se não restringir sua capacidade de concluir o contrato.</w:t>
      </w:r>
      <w:r/>
    </w:p>
    <w:p w14:paraId="1C3724B4" w14:textId="77777777">
      <w:pPr>
        <w:pBdr/>
        <w:spacing/>
        <w:ind/>
        <w:jc w:val="both"/>
        <w:rPr>
          <w:rFonts w:ascii="Arial" w:hAnsi="Arial" w:cs="Arial"/>
        </w:rPr>
      </w:pPr>
      <w:r>
        <w:rPr>
          <w:rFonts w:ascii="Arial" w:hAnsi="Arial" w:cs="Arial"/>
        </w:rPr>
      </w:r>
      <w:r>
        <w:rPr>
          <w:rFonts w:ascii="Arial" w:hAnsi="Arial" w:cs="Arial"/>
        </w:rPr>
      </w:r>
    </w:p>
    <w:p w14:paraId="0A87CB5C" w14:textId="77777777">
      <w:pPr>
        <w:pBdr/>
        <w:spacing/>
        <w:ind/>
        <w:jc w:val="both"/>
        <w:rPr/>
      </w:pPr>
      <w:r>
        <w:rPr>
          <w:rFonts w:ascii="Arial" w:hAnsi="Arial" w:cs="Arial"/>
          <w:b/>
        </w:rPr>
        <w:t xml:space="preserve">14.2.3.</w:t>
      </w:r>
      <w:r>
        <w:rPr>
          <w:rFonts w:ascii="Arial" w:hAnsi="Arial" w:cs="Arial"/>
        </w:rPr>
        <w:t xml:space="preserve"> Se a operação implicar mudança da pessoa jurídica contratada, deverá ser formalizado termo aditivo para alteração subjetiva.</w:t>
      </w:r>
      <w:r/>
    </w:p>
    <w:p w14:paraId="16914438" w14:textId="77777777">
      <w:pPr>
        <w:pBdr/>
        <w:spacing/>
        <w:ind/>
        <w:jc w:val="both"/>
        <w:rPr>
          <w:rFonts w:ascii="Arial" w:hAnsi="Arial" w:cs="Arial"/>
        </w:rPr>
      </w:pPr>
      <w:r>
        <w:rPr>
          <w:rFonts w:ascii="Arial" w:hAnsi="Arial" w:cs="Arial"/>
        </w:rPr>
      </w:r>
      <w:r>
        <w:rPr>
          <w:rFonts w:ascii="Arial" w:hAnsi="Arial" w:cs="Arial"/>
        </w:rPr>
      </w:r>
    </w:p>
    <w:p w14:paraId="5DF2C9DF" w14:textId="77777777">
      <w:pPr>
        <w:pBdr/>
        <w:spacing/>
        <w:ind/>
        <w:jc w:val="both"/>
        <w:rPr/>
      </w:pPr>
      <w:r>
        <w:rPr>
          <w:rFonts w:ascii="Arial" w:hAnsi="Arial" w:cs="Arial"/>
          <w:b/>
        </w:rPr>
        <w:t xml:space="preserve">14.3.</w:t>
      </w:r>
      <w:r>
        <w:rPr>
          <w:rFonts w:ascii="Arial" w:hAnsi="Arial" w:cs="Arial"/>
        </w:rPr>
        <w:t xml:space="preserve"> A extinção determinada por ato unilateral da Administração e a extinção consensual deverão ser precedidas de autorização escrita e fundamentada da autoridade competente e reduzidas a termo no respectivo processo.</w:t>
      </w:r>
      <w:r/>
    </w:p>
    <w:p w14:paraId="46374C53" w14:textId="77777777">
      <w:pPr>
        <w:pBdr/>
        <w:spacing/>
        <w:ind/>
        <w:jc w:val="both"/>
        <w:rPr>
          <w:rFonts w:ascii="Arial" w:hAnsi="Arial" w:cs="Arial"/>
        </w:rPr>
      </w:pPr>
      <w:r>
        <w:rPr>
          <w:rFonts w:ascii="Arial" w:hAnsi="Arial" w:cs="Arial"/>
        </w:rPr>
      </w:r>
      <w:r>
        <w:rPr>
          <w:rFonts w:ascii="Arial" w:hAnsi="Arial" w:cs="Arial"/>
        </w:rPr>
      </w:r>
    </w:p>
    <w:p w14:paraId="5277DD99" w14:textId="77777777">
      <w:pPr>
        <w:pBdr/>
        <w:spacing/>
        <w:ind/>
        <w:jc w:val="both"/>
        <w:rPr/>
      </w:pPr>
      <w:r>
        <w:rPr>
          <w:rFonts w:ascii="Arial" w:hAnsi="Arial" w:cs="Arial"/>
          <w:b/>
        </w:rPr>
        <w:t xml:space="preserve">14.4.</w:t>
      </w:r>
      <w:r>
        <w:rPr>
          <w:rFonts w:ascii="Arial" w:hAnsi="Arial" w:cs="Arial"/>
        </w:rPr>
        <w:t xml:space="preserve"> O contrato poderá ser extinto caso se constate que o contratado mantém vínculo de natureza técnica, comercial, econômica, financeira, trabalhista ou civil com dirigente do órgão ou entidade contratante ou com agente públic</w:t>
      </w:r>
      <w:r>
        <w:rPr>
          <w:rFonts w:ascii="Arial" w:hAnsi="Arial" w:cs="Arial"/>
        </w:rPr>
        <w:t xml:space="preserve">o que tenha desempenhado função na licitação ou atue na fiscalização ou na gestão do contrato, ou que deles seja cônjuge, companheiro ou parente em linha reta, colateral ou por afinidade, até o terceiro grau (art. 14, inciso IV, da Lei nº 14.133, de 2021).</w:t>
      </w:r>
      <w:r/>
    </w:p>
    <w:p w14:paraId="5B7D216E" w14:textId="77777777">
      <w:pPr>
        <w:pBdr/>
        <w:spacing/>
        <w:ind/>
        <w:jc w:val="both"/>
        <w:rPr>
          <w:rFonts w:ascii="Arial" w:hAnsi="Arial" w:cs="Arial"/>
        </w:rPr>
      </w:pPr>
      <w:r>
        <w:rPr>
          <w:rFonts w:ascii="Arial" w:hAnsi="Arial" w:cs="Arial"/>
        </w:rPr>
      </w:r>
      <w:r>
        <w:rPr>
          <w:rFonts w:ascii="Arial" w:hAnsi="Arial" w:cs="Arial"/>
        </w:rPr>
      </w:r>
    </w:p>
    <w:p w14:paraId="6A78538C" w14:textId="77777777">
      <w:pPr>
        <w:pBdr/>
        <w:spacing/>
        <w:ind/>
        <w:jc w:val="both"/>
        <w:rPr/>
      </w:pPr>
      <w:r>
        <w:rPr>
          <w:rFonts w:ascii="Arial" w:hAnsi="Arial" w:cs="Arial"/>
          <w:b/>
        </w:rPr>
        <w:t xml:space="preserve">14.5.</w:t>
      </w:r>
      <w:r>
        <w:rPr>
          <w:rFonts w:ascii="Arial" w:hAnsi="Arial" w:cs="Arial"/>
        </w:rPr>
        <w:t xml:space="preserve"> A extinção do contrato não configura óbice para o reconhecimento do desequilíbrio econômico-financeiro, hipótese em que será concedida indenização por meio de termo indenizatório (art. 131, </w:t>
      </w:r>
      <w:r>
        <w:rPr>
          <w:rFonts w:ascii="Arial" w:hAnsi="Arial" w:cs="Arial"/>
          <w:i/>
          <w:iCs/>
        </w:rPr>
        <w:t xml:space="preserve">caput, </w:t>
      </w:r>
      <w:r>
        <w:rPr>
          <w:rFonts w:ascii="Arial" w:hAnsi="Arial" w:cs="Arial"/>
        </w:rPr>
        <w:t xml:space="preserve">da Lei nº 14.133, de 2021).</w:t>
      </w:r>
      <w:r/>
    </w:p>
    <w:p w14:paraId="252A12DA" w14:textId="77777777">
      <w:pPr>
        <w:pBdr/>
        <w:spacing/>
        <w:ind/>
        <w:jc w:val="both"/>
        <w:rPr>
          <w:rFonts w:ascii="Arial" w:hAnsi="Arial" w:cs="Arial"/>
          <w:b/>
        </w:rPr>
      </w:pPr>
      <w:r>
        <w:rPr>
          <w:rFonts w:ascii="Arial" w:hAnsi="Arial" w:cs="Arial"/>
          <w:b/>
        </w:rPr>
      </w:r>
      <w:r>
        <w:rPr>
          <w:rFonts w:ascii="Arial" w:hAnsi="Arial" w:cs="Arial"/>
          <w:b/>
        </w:rPr>
      </w:r>
    </w:p>
    <w:p w14:paraId="5A220BBC" w14:textId="77777777">
      <w:pPr>
        <w:pBdr/>
        <w:spacing/>
        <w:ind/>
        <w:jc w:val="both"/>
        <w:rPr/>
      </w:pPr>
      <w:r>
        <w:rPr>
          <w:rFonts w:ascii="Arial" w:hAnsi="Arial" w:cs="Arial"/>
          <w:b/>
        </w:rPr>
        <w:t xml:space="preserve">CLÁUSULA DÉCIMA QUINTA – DA FISCALIZAÇÃO E GESTÃO DO CONTRATO</w:t>
      </w:r>
      <w:r>
        <w:rPr>
          <w:rFonts w:ascii="Arial" w:hAnsi="Arial" w:cs="Arial"/>
        </w:rPr>
        <w:t xml:space="preserve">:</w:t>
      </w:r>
      <w:r/>
    </w:p>
    <w:p w14:paraId="672923A1" w14:textId="77777777">
      <w:pPr>
        <w:pBdr/>
        <w:spacing/>
        <w:ind/>
        <w:jc w:val="both"/>
        <w:rPr>
          <w:rFonts w:ascii="Arial" w:hAnsi="Arial" w:cs="Arial"/>
          <w:b/>
        </w:rPr>
      </w:pPr>
      <w:r>
        <w:rPr>
          <w:rFonts w:ascii="Arial" w:hAnsi="Arial" w:cs="Arial"/>
          <w:b/>
        </w:rPr>
      </w:r>
      <w:r>
        <w:rPr>
          <w:rFonts w:ascii="Arial" w:hAnsi="Arial" w:cs="Arial"/>
          <w:b/>
        </w:rPr>
      </w:r>
    </w:p>
    <w:p w14:paraId="3048CCC1" w14:textId="77777777">
      <w:pPr>
        <w:pBdr/>
        <w:spacing/>
        <w:ind/>
        <w:jc w:val="both"/>
        <w:rPr/>
      </w:pPr>
      <w:r>
        <w:rPr>
          <w:rFonts w:ascii="Arial" w:hAnsi="Arial" w:cs="Arial"/>
          <w:b/>
        </w:rPr>
        <w:t xml:space="preserve">15.1.</w:t>
      </w:r>
      <w:r>
        <w:rPr>
          <w:rFonts w:ascii="Arial" w:hAnsi="Arial" w:cs="Arial"/>
        </w:rPr>
        <w:t xml:space="preserve"> Será designado, pelo contratante, um servidor qualificado ou uma comissão para exercer a fiscalização e acompanhamento do contrato, que terá, dentre outras, a incumbência de informar as ocorrências relevantes verificadas na execução contratual, inclusive </w:t>
      </w:r>
      <w:r>
        <w:rPr>
          <w:rFonts w:ascii="Arial" w:hAnsi="Arial" w:cs="Arial"/>
        </w:rPr>
        <w:t xml:space="preserve">quanto a eventuais atrasos e descumprimentos de cláusulas contratuais; solicitar ao contratado documentos exigidos para o fornecimento do bem, correção de falhas na execução contratual, cumprimento da legislação aplicável, e, sendo o caso, determinar a sub</w:t>
      </w:r>
      <w:r>
        <w:rPr>
          <w:rFonts w:ascii="Arial" w:hAnsi="Arial" w:cs="Arial"/>
        </w:rPr>
        <w:t xml:space="preserve">stituição de produtos defeituosos; informar as autoridades competentes a ocorrência de ilegalidades e irregularidades que constatar;</w:t>
      </w:r>
      <w:r/>
    </w:p>
    <w:p w14:paraId="73E3C5DA" w14:textId="77777777">
      <w:pPr>
        <w:pBdr/>
        <w:spacing/>
        <w:ind/>
        <w:jc w:val="both"/>
        <w:rPr>
          <w:rFonts w:ascii="Arial" w:hAnsi="Arial" w:cs="Arial"/>
        </w:rPr>
      </w:pPr>
      <w:r>
        <w:rPr>
          <w:rFonts w:ascii="Arial" w:hAnsi="Arial" w:cs="Arial"/>
        </w:rPr>
      </w:r>
      <w:r>
        <w:rPr>
          <w:rFonts w:ascii="Arial" w:hAnsi="Arial" w:cs="Arial"/>
        </w:rPr>
      </w:r>
    </w:p>
    <w:p w14:paraId="042A2FD0" w14:textId="77777777">
      <w:pPr>
        <w:pBdr/>
        <w:spacing/>
        <w:ind/>
        <w:jc w:val="both"/>
        <w:rPr/>
      </w:pPr>
      <w:r>
        <w:rPr>
          <w:rFonts w:ascii="Arial" w:hAnsi="Arial" w:cs="Arial"/>
          <w:b/>
        </w:rPr>
        <w:t xml:space="preserve">15.2</w:t>
      </w:r>
      <w:r>
        <w:rPr>
          <w:rFonts w:ascii="Arial" w:hAnsi="Arial" w:cs="Arial"/>
        </w:rPr>
        <w:t xml:space="preserve">. A execução do contrato deverá ser acompanhada e fiscalizada por um ou mais fiscais de contratos, representantes da Administração especialmente designados, nos termos do art. 117 da Lei nº 14.133/2021.</w:t>
      </w:r>
      <w:r/>
    </w:p>
    <w:p w14:paraId="6178FC87" w14:textId="77777777">
      <w:pPr>
        <w:pBdr/>
        <w:spacing/>
        <w:ind/>
        <w:jc w:val="both"/>
        <w:rPr>
          <w:rFonts w:ascii="Arial" w:hAnsi="Arial" w:cs="Arial"/>
        </w:rPr>
      </w:pPr>
      <w:r>
        <w:rPr>
          <w:rFonts w:ascii="Arial" w:hAnsi="Arial" w:cs="Arial"/>
        </w:rPr>
      </w:r>
      <w:r>
        <w:rPr>
          <w:rFonts w:ascii="Arial" w:hAnsi="Arial" w:cs="Arial"/>
        </w:rPr>
      </w:r>
    </w:p>
    <w:p w14:paraId="797CA932" w14:textId="77777777">
      <w:pPr>
        <w:pBdr/>
        <w:spacing/>
        <w:ind/>
        <w:jc w:val="both"/>
        <w:rPr/>
      </w:pPr>
      <w:r>
        <w:rPr>
          <w:rFonts w:ascii="Arial" w:hAnsi="Arial" w:cs="Arial"/>
          <w:b/>
        </w:rPr>
        <w:t xml:space="preserve">15.3. </w:t>
      </w:r>
      <w:r>
        <w:rPr>
          <w:rFonts w:ascii="Arial" w:hAnsi="Arial" w:cs="Arial"/>
        </w:rPr>
        <w:t xml:space="preserve">A fiscalização exercida pelo contratante na entrega dos bens não exclui a responsabilidade do contra</w:t>
      </w:r>
      <w:r>
        <w:rPr>
          <w:rFonts w:ascii="Arial" w:hAnsi="Arial" w:cs="Arial"/>
        </w:rPr>
        <w:t xml:space="preserve">tado, por quaisquer irregularidades resultantes de imperfeições técnicas, vícios redibitórios, ou emprego de material inadequado ou de qualidade inferior e, na ocorrência deste, não implica co-responsabilidade do contratante ou de seus agentes e prepostos.</w:t>
      </w:r>
      <w:r/>
    </w:p>
    <w:p w14:paraId="3E73E16B" w14:textId="77777777">
      <w:pPr>
        <w:pBdr/>
        <w:spacing/>
        <w:ind/>
        <w:jc w:val="both"/>
        <w:rPr>
          <w:rFonts w:ascii="Arial" w:hAnsi="Arial" w:cs="Arial"/>
        </w:rPr>
      </w:pPr>
      <w:r>
        <w:rPr>
          <w:rFonts w:ascii="Arial" w:hAnsi="Arial" w:cs="Arial"/>
        </w:rPr>
      </w:r>
      <w:r>
        <w:rPr>
          <w:rFonts w:ascii="Arial" w:hAnsi="Arial" w:cs="Arial"/>
        </w:rPr>
      </w:r>
    </w:p>
    <w:p w14:paraId="7E9BA241" w14:textId="77777777">
      <w:pPr>
        <w:pBdr/>
        <w:spacing/>
        <w:ind/>
        <w:jc w:val="both"/>
        <w:rPr/>
      </w:pPr>
      <w:r>
        <w:rPr>
          <w:rFonts w:ascii="Arial" w:hAnsi="Arial" w:cs="Arial"/>
          <w:b/>
        </w:rPr>
        <w:t xml:space="preserve">15.4.</w:t>
      </w:r>
      <w:r>
        <w:rPr>
          <w:rFonts w:ascii="Arial" w:hAnsi="Arial" w:cs="Arial"/>
        </w:rPr>
        <w:t xml:space="preserve"> Em caso de impedimento, ordem de paralisação ou suspensão do contrato, o cronograma de execução será prorrogado automaticamente pelo tempo correspondente, anotadas tais circunstâncias mediante simples apostilamento.</w:t>
      </w:r>
      <w:r/>
    </w:p>
    <w:p w14:paraId="33AC9665" w14:textId="77777777">
      <w:pPr>
        <w:pBdr/>
        <w:spacing/>
        <w:ind/>
        <w:jc w:val="both"/>
        <w:rPr>
          <w:rFonts w:ascii="Arial" w:hAnsi="Arial" w:cs="Arial"/>
        </w:rPr>
      </w:pPr>
      <w:r>
        <w:rPr>
          <w:rFonts w:ascii="Arial" w:hAnsi="Arial" w:cs="Arial"/>
        </w:rPr>
      </w:r>
      <w:r>
        <w:rPr>
          <w:rFonts w:ascii="Arial" w:hAnsi="Arial" w:cs="Arial"/>
        </w:rPr>
      </w:r>
    </w:p>
    <w:p w14:paraId="7F12610D" w14:textId="77777777">
      <w:pPr>
        <w:pBdr/>
        <w:spacing/>
        <w:ind/>
        <w:jc w:val="both"/>
        <w:rPr/>
      </w:pPr>
      <w:r>
        <w:rPr>
          <w:rFonts w:ascii="Arial" w:hAnsi="Arial" w:cs="Arial"/>
          <w:b/>
        </w:rPr>
        <w:t xml:space="preserve">15.5.</w:t>
      </w:r>
      <w:r>
        <w:rPr>
          <w:rFonts w:ascii="Arial" w:hAnsi="Arial" w:cs="Arial"/>
        </w:rPr>
        <w:t xml:space="preserve"> A execução do contrato deverá ser acompanhada e fiscalizada pelo(s) fiscal(is) do contrato, ou, em caso de afastamentos legais, pelos respectivos substitutos.</w:t>
      </w:r>
      <w:r/>
    </w:p>
    <w:p w14:paraId="7F22310C" w14:textId="77777777">
      <w:pPr>
        <w:pBdr/>
        <w:spacing/>
        <w:ind/>
        <w:jc w:val="both"/>
        <w:rPr>
          <w:rFonts w:ascii="Arial" w:hAnsi="Arial" w:cs="Arial"/>
        </w:rPr>
      </w:pPr>
      <w:r>
        <w:rPr>
          <w:rFonts w:ascii="Arial" w:hAnsi="Arial" w:cs="Arial"/>
        </w:rPr>
      </w:r>
      <w:r>
        <w:rPr>
          <w:rFonts w:ascii="Arial" w:hAnsi="Arial" w:cs="Arial"/>
        </w:rPr>
      </w:r>
    </w:p>
    <w:p w14:paraId="5DC086FA" w14:textId="77777777">
      <w:pPr>
        <w:pBdr/>
        <w:spacing/>
        <w:ind/>
        <w:jc w:val="both"/>
        <w:rPr/>
      </w:pPr>
      <w:r>
        <w:rPr>
          <w:rFonts w:ascii="Arial" w:hAnsi="Arial" w:cs="Arial"/>
          <w:b/>
        </w:rPr>
        <w:t xml:space="preserve">15.6.</w:t>
      </w:r>
      <w:r>
        <w:rPr>
          <w:rFonts w:ascii="Arial" w:hAnsi="Arial" w:cs="Arial"/>
        </w:rPr>
        <w:t xml:space="preserve"> Os gestores e fiscais de contrato devem ser previamente designados, por portaria geral ou específica, conforme Decreto Municipal nº 11.685/2023 e cientificados de forma expressa, preferencialmente por meio eletrônico, bem como os titulares e substitutos.</w:t>
      </w:r>
      <w:r/>
    </w:p>
    <w:p w14:paraId="3E071B22" w14:textId="77777777">
      <w:pPr>
        <w:pBdr/>
        <w:spacing/>
        <w:ind/>
        <w:jc w:val="both"/>
        <w:rPr/>
      </w:pPr>
      <w:r>
        <w:rPr>
          <w:rFonts w:ascii="Arial" w:hAnsi="Arial" w:cs="Arial"/>
          <w:b/>
        </w:rPr>
        <w:t xml:space="preserve">15.7.</w:t>
      </w:r>
      <w:r>
        <w:rPr>
          <w:rFonts w:ascii="Arial" w:hAnsi="Arial" w:cs="Arial"/>
        </w:rPr>
        <w:t xml:space="preserve"> Não obstante o contratado se</w:t>
      </w:r>
      <w:r>
        <w:rPr>
          <w:rFonts w:ascii="Arial" w:hAnsi="Arial" w:cs="Arial"/>
        </w:rPr>
        <w:t xml:space="preserve">ja o único e exclusivo responsável pela execução do Contrato, o contratante reserva-se o direito de, sem que de qualquer forma restrinja a plenitude dessa responsabilidade, exercer a mais ampla e completa fiscalização sobre a execução do objeto contratado.</w:t>
      </w:r>
      <w:r/>
    </w:p>
    <w:p w14:paraId="31A8B9EC" w14:textId="77777777">
      <w:pPr>
        <w:pBdr/>
        <w:spacing/>
        <w:ind/>
        <w:jc w:val="both"/>
        <w:rPr>
          <w:rFonts w:ascii="Arial" w:hAnsi="Arial" w:cs="Arial"/>
        </w:rPr>
      </w:pPr>
      <w:r>
        <w:rPr>
          <w:rFonts w:ascii="Arial" w:hAnsi="Arial" w:cs="Arial"/>
        </w:rPr>
      </w:r>
      <w:r>
        <w:rPr>
          <w:rFonts w:ascii="Arial" w:hAnsi="Arial" w:cs="Arial"/>
        </w:rPr>
      </w:r>
    </w:p>
    <w:p w14:paraId="30F17305" w14:textId="77777777">
      <w:pPr>
        <w:pBdr/>
        <w:spacing/>
        <w:ind/>
        <w:jc w:val="both"/>
        <w:rPr/>
      </w:pPr>
      <w:r>
        <w:rPr>
          <w:rFonts w:ascii="Arial" w:hAnsi="Arial" w:cs="Arial"/>
          <w:b/>
        </w:rPr>
        <w:t xml:space="preserve">CLÁUSULA DÉCIMA SEXTA - DAS INFRAÇÕES E SANÇÕES ADMINISTRATIVAS: </w:t>
      </w:r>
      <w:r/>
    </w:p>
    <w:p w14:paraId="39D649F4" w14:textId="77777777">
      <w:pPr>
        <w:pBdr/>
        <w:spacing/>
        <w:ind/>
        <w:jc w:val="both"/>
        <w:rPr>
          <w:rFonts w:ascii="Arial" w:hAnsi="Arial" w:cs="Arial"/>
          <w:b/>
        </w:rPr>
      </w:pPr>
      <w:r>
        <w:rPr>
          <w:rFonts w:ascii="Arial" w:hAnsi="Arial" w:cs="Arial"/>
          <w:b/>
        </w:rPr>
      </w:r>
      <w:r>
        <w:rPr>
          <w:rFonts w:ascii="Arial" w:hAnsi="Arial" w:cs="Arial"/>
          <w:b/>
        </w:rPr>
      </w:r>
    </w:p>
    <w:p w14:paraId="6CDFE5E3" w14:textId="77777777">
      <w:pPr>
        <w:pBdr/>
        <w:spacing/>
        <w:ind/>
        <w:jc w:val="both"/>
        <w:rPr/>
      </w:pPr>
      <w:r>
        <w:rPr>
          <w:rFonts w:ascii="Arial" w:hAnsi="Arial" w:cs="Arial"/>
          <w:b/>
        </w:rPr>
        <w:t xml:space="preserve">16.1.</w:t>
      </w:r>
      <w:r>
        <w:rPr>
          <w:rFonts w:ascii="Arial" w:hAnsi="Arial" w:cs="Arial"/>
        </w:rPr>
        <w:t xml:space="preserve"> Comete infração administrativa, nos termos da Lei nº 14.133/2021 (art. 155) e do Decreto Municipal nº 11.685/2023 o contratado que:</w:t>
      </w:r>
      <w:r/>
    </w:p>
    <w:p w14:paraId="648323E8" w14:textId="77777777">
      <w:pPr>
        <w:pBdr/>
        <w:spacing/>
        <w:ind/>
        <w:jc w:val="both"/>
        <w:rPr>
          <w:rFonts w:ascii="Arial" w:hAnsi="Arial" w:cs="Arial"/>
        </w:rPr>
      </w:pPr>
      <w:r>
        <w:rPr>
          <w:rFonts w:ascii="Arial" w:hAnsi="Arial" w:cs="Arial"/>
        </w:rPr>
      </w:r>
      <w:r>
        <w:rPr>
          <w:rFonts w:ascii="Arial" w:hAnsi="Arial" w:cs="Arial"/>
        </w:rPr>
      </w:r>
    </w:p>
    <w:p w14:paraId="16057199" w14:textId="77777777">
      <w:pPr>
        <w:pBdr/>
        <w:spacing/>
        <w:ind/>
        <w:jc w:val="both"/>
        <w:rPr/>
      </w:pPr>
      <w:r>
        <w:rPr>
          <w:rFonts w:ascii="Arial" w:hAnsi="Arial" w:cs="Arial"/>
          <w:b/>
        </w:rPr>
        <w:t xml:space="preserve">16.1.1.</w:t>
      </w:r>
      <w:r>
        <w:rPr>
          <w:rFonts w:ascii="Arial" w:hAnsi="Arial" w:cs="Arial"/>
        </w:rPr>
        <w:t xml:space="preserve"> Dar causa à inexecução parcial do contrato que cause grave dano à Administração, ao funcionamento dos serviços públicos ou ao interesse coletivo.</w:t>
      </w:r>
      <w:r/>
    </w:p>
    <w:p w14:paraId="69E3A6CA" w14:textId="77777777">
      <w:pPr>
        <w:pBdr/>
        <w:spacing/>
        <w:ind/>
        <w:jc w:val="both"/>
        <w:rPr>
          <w:rFonts w:ascii="Arial" w:hAnsi="Arial" w:cs="Arial"/>
        </w:rPr>
      </w:pPr>
      <w:r>
        <w:rPr>
          <w:rFonts w:ascii="Arial" w:hAnsi="Arial" w:cs="Arial"/>
        </w:rPr>
      </w:r>
      <w:r>
        <w:rPr>
          <w:rFonts w:ascii="Arial" w:hAnsi="Arial" w:cs="Arial"/>
        </w:rPr>
      </w:r>
    </w:p>
    <w:p w14:paraId="5D8273AA" w14:textId="77777777">
      <w:pPr>
        <w:pBdr/>
        <w:spacing/>
        <w:ind/>
        <w:jc w:val="both"/>
        <w:rPr/>
      </w:pPr>
      <w:r>
        <w:rPr>
          <w:rFonts w:ascii="Arial" w:hAnsi="Arial" w:cs="Arial"/>
          <w:b/>
        </w:rPr>
        <w:t xml:space="preserve">16.1.2.</w:t>
      </w:r>
      <w:r>
        <w:rPr>
          <w:rFonts w:ascii="Arial" w:hAnsi="Arial" w:cs="Arial"/>
        </w:rPr>
        <w:t xml:space="preserve"> Dar causa à inexecução total do contrato. </w:t>
      </w:r>
      <w:r/>
    </w:p>
    <w:p w14:paraId="709C2A41" w14:textId="77777777">
      <w:pPr>
        <w:pBdr/>
        <w:spacing/>
        <w:ind/>
        <w:jc w:val="both"/>
        <w:rPr>
          <w:rFonts w:ascii="Arial" w:hAnsi="Arial" w:cs="Arial"/>
        </w:rPr>
      </w:pPr>
      <w:r>
        <w:rPr>
          <w:rFonts w:ascii="Arial" w:hAnsi="Arial" w:cs="Arial"/>
        </w:rPr>
      </w:r>
      <w:r>
        <w:rPr>
          <w:rFonts w:ascii="Arial" w:hAnsi="Arial" w:cs="Arial"/>
        </w:rPr>
      </w:r>
    </w:p>
    <w:p w14:paraId="320DF63A" w14:textId="77777777">
      <w:pPr>
        <w:pBdr/>
        <w:spacing/>
        <w:ind/>
        <w:jc w:val="both"/>
        <w:rPr/>
      </w:pPr>
      <w:r>
        <w:rPr>
          <w:rFonts w:ascii="Arial" w:hAnsi="Arial" w:cs="Arial"/>
          <w:b/>
        </w:rPr>
        <w:t xml:space="preserve">16.1.3.</w:t>
      </w:r>
      <w:r>
        <w:rPr>
          <w:rFonts w:ascii="Arial" w:hAnsi="Arial" w:cs="Arial"/>
        </w:rPr>
        <w:t xml:space="preserve"> Não celebrar o contrato ou não entregar a documentação exigida para a contratação, quando convocado dentro do prazo de validade de sua proposta.</w:t>
      </w:r>
      <w:r/>
    </w:p>
    <w:p w14:paraId="5CABD73A" w14:textId="77777777">
      <w:pPr>
        <w:pBdr/>
        <w:spacing/>
        <w:ind/>
        <w:jc w:val="both"/>
        <w:rPr>
          <w:rFonts w:ascii="Arial" w:hAnsi="Arial" w:cs="Arial"/>
        </w:rPr>
      </w:pPr>
      <w:r>
        <w:rPr>
          <w:rFonts w:ascii="Arial" w:hAnsi="Arial" w:cs="Arial"/>
        </w:rPr>
      </w:r>
      <w:r>
        <w:rPr>
          <w:rFonts w:ascii="Arial" w:hAnsi="Arial" w:cs="Arial"/>
        </w:rPr>
      </w:r>
    </w:p>
    <w:p w14:paraId="476CA2D6" w14:textId="77777777">
      <w:pPr>
        <w:pBdr/>
        <w:spacing/>
        <w:ind/>
        <w:jc w:val="both"/>
        <w:rPr/>
      </w:pPr>
      <w:r>
        <w:rPr>
          <w:rFonts w:ascii="Arial" w:hAnsi="Arial" w:cs="Arial"/>
          <w:b/>
        </w:rPr>
        <w:t xml:space="preserve">16.1.4.</w:t>
      </w:r>
      <w:r>
        <w:rPr>
          <w:rFonts w:ascii="Arial" w:hAnsi="Arial" w:cs="Arial"/>
        </w:rPr>
        <w:t xml:space="preserve"> Ensejar o retardamento da execução ou da entrega do objeto da licitação sem motivo justificado.</w:t>
      </w:r>
      <w:r/>
    </w:p>
    <w:p w14:paraId="2DAFD29F" w14:textId="77777777">
      <w:pPr>
        <w:pBdr/>
        <w:spacing/>
        <w:ind/>
        <w:jc w:val="both"/>
        <w:rPr>
          <w:rFonts w:ascii="Arial" w:hAnsi="Arial" w:cs="Arial"/>
          <w:b/>
        </w:rPr>
      </w:pPr>
      <w:r>
        <w:rPr>
          <w:rFonts w:ascii="Arial" w:hAnsi="Arial" w:cs="Arial"/>
          <w:b/>
        </w:rPr>
      </w:r>
      <w:r>
        <w:rPr>
          <w:rFonts w:ascii="Arial" w:hAnsi="Arial" w:cs="Arial"/>
          <w:b/>
        </w:rPr>
      </w:r>
    </w:p>
    <w:p w14:paraId="4D2FE04C" w14:textId="77777777">
      <w:pPr>
        <w:pBdr/>
        <w:spacing/>
        <w:ind/>
        <w:jc w:val="both"/>
        <w:rPr/>
      </w:pPr>
      <w:r>
        <w:rPr>
          <w:rFonts w:ascii="Arial" w:hAnsi="Arial" w:cs="Arial"/>
          <w:b/>
        </w:rPr>
        <w:t xml:space="preserve">16.1.5.</w:t>
      </w:r>
      <w:r>
        <w:rPr>
          <w:rFonts w:ascii="Arial" w:hAnsi="Arial" w:cs="Arial"/>
        </w:rPr>
        <w:t xml:space="preserve"> Apresentar declaração ou documentação falsa exigida para o certame ou prestar declaração falsa durante a licitação ou a execução do contrato.</w:t>
      </w:r>
      <w:r/>
    </w:p>
    <w:p w14:paraId="40BCA8D6" w14:textId="77777777">
      <w:pPr>
        <w:pBdr/>
        <w:spacing/>
        <w:ind/>
        <w:jc w:val="both"/>
        <w:rPr/>
      </w:pPr>
      <w:r>
        <w:rPr>
          <w:rFonts w:ascii="Arial" w:hAnsi="Arial" w:cs="Arial"/>
          <w:b/>
        </w:rPr>
        <w:t xml:space="preserve">16.1.6. </w:t>
      </w:r>
      <w:r>
        <w:rPr>
          <w:rFonts w:ascii="Arial" w:hAnsi="Arial" w:cs="Arial"/>
        </w:rPr>
        <w:t xml:space="preserve">Fraudar a licitação ou praticar ato fraudulento na execução do contrato.</w:t>
      </w:r>
      <w:r/>
    </w:p>
    <w:p w14:paraId="20A602CB" w14:textId="77777777">
      <w:pPr>
        <w:pBdr/>
        <w:spacing/>
        <w:ind/>
        <w:jc w:val="both"/>
        <w:rPr>
          <w:rFonts w:ascii="Arial" w:hAnsi="Arial" w:cs="Arial"/>
        </w:rPr>
      </w:pPr>
      <w:r>
        <w:rPr>
          <w:rFonts w:ascii="Arial" w:hAnsi="Arial" w:cs="Arial"/>
        </w:rPr>
      </w:r>
      <w:r>
        <w:rPr>
          <w:rFonts w:ascii="Arial" w:hAnsi="Arial" w:cs="Arial"/>
        </w:rPr>
      </w:r>
    </w:p>
    <w:p w14:paraId="1BC5F28D" w14:textId="77777777">
      <w:pPr>
        <w:pBdr/>
        <w:spacing/>
        <w:ind/>
        <w:jc w:val="both"/>
        <w:rPr/>
      </w:pPr>
      <w:r>
        <w:rPr>
          <w:rFonts w:ascii="Arial" w:hAnsi="Arial" w:cs="Arial"/>
          <w:b/>
        </w:rPr>
        <w:t xml:space="preserve">16.1.7.</w:t>
      </w:r>
      <w:r>
        <w:rPr>
          <w:rFonts w:ascii="Arial" w:hAnsi="Arial" w:cs="Arial"/>
        </w:rPr>
        <w:t xml:space="preserve"> Comportar-se de modo inidôneo ou cometer fraude de qualquer natureza.</w:t>
      </w:r>
      <w:r/>
    </w:p>
    <w:p w14:paraId="13F6C5AB" w14:textId="77777777">
      <w:pPr>
        <w:pBdr/>
        <w:spacing/>
        <w:ind/>
        <w:jc w:val="both"/>
        <w:rPr>
          <w:rFonts w:ascii="Arial" w:hAnsi="Arial" w:cs="Arial"/>
        </w:rPr>
      </w:pPr>
      <w:r>
        <w:rPr>
          <w:rFonts w:ascii="Arial" w:hAnsi="Arial" w:cs="Arial"/>
        </w:rPr>
      </w:r>
      <w:r>
        <w:rPr>
          <w:rFonts w:ascii="Arial" w:hAnsi="Arial" w:cs="Arial"/>
        </w:rPr>
      </w:r>
    </w:p>
    <w:p w14:paraId="7D09FEAB" w14:textId="77777777">
      <w:pPr>
        <w:pBdr/>
        <w:spacing/>
        <w:ind/>
        <w:jc w:val="both"/>
        <w:rPr/>
      </w:pPr>
      <w:r>
        <w:rPr>
          <w:rFonts w:ascii="Arial" w:hAnsi="Arial" w:cs="Arial"/>
          <w:b/>
        </w:rPr>
        <w:t xml:space="preserve">16.1.8.</w:t>
      </w:r>
      <w:r>
        <w:rPr>
          <w:rFonts w:ascii="Arial" w:hAnsi="Arial" w:cs="Arial"/>
        </w:rPr>
        <w:t xml:space="preserve"> Praticar atos ilícitos com vistas a frustrar os objetivos da licitação.</w:t>
      </w:r>
      <w:r/>
    </w:p>
    <w:p w14:paraId="037BE641" w14:textId="77777777">
      <w:pPr>
        <w:pBdr/>
        <w:spacing/>
        <w:ind/>
        <w:jc w:val="both"/>
        <w:rPr>
          <w:rFonts w:ascii="Arial" w:hAnsi="Arial" w:cs="Arial"/>
        </w:rPr>
      </w:pPr>
      <w:r>
        <w:rPr>
          <w:rFonts w:ascii="Arial" w:hAnsi="Arial" w:cs="Arial"/>
        </w:rPr>
      </w:r>
      <w:r>
        <w:rPr>
          <w:rFonts w:ascii="Arial" w:hAnsi="Arial" w:cs="Arial"/>
        </w:rPr>
      </w:r>
    </w:p>
    <w:p w14:paraId="433CF01A" w14:textId="77777777">
      <w:pPr>
        <w:pBdr/>
        <w:spacing/>
        <w:ind/>
        <w:jc w:val="both"/>
        <w:rPr/>
      </w:pPr>
      <w:r>
        <w:rPr>
          <w:rFonts w:ascii="Arial" w:hAnsi="Arial" w:cs="Arial"/>
          <w:b/>
        </w:rPr>
        <w:t xml:space="preserve">16.1.9.</w:t>
      </w:r>
      <w:r>
        <w:rPr>
          <w:rFonts w:ascii="Arial" w:hAnsi="Arial" w:cs="Arial"/>
        </w:rPr>
        <w:t xml:space="preserve"> Praticar ato lesivo previsto no art. 5º, da Lei nº 12.846/2013.</w:t>
      </w:r>
      <w:r/>
    </w:p>
    <w:p w14:paraId="13D400E5" w14:textId="77777777">
      <w:pPr>
        <w:pBdr/>
        <w:spacing/>
        <w:ind/>
        <w:jc w:val="both"/>
        <w:rPr>
          <w:rFonts w:ascii="Arial" w:hAnsi="Arial" w:cs="Arial"/>
        </w:rPr>
      </w:pPr>
      <w:r>
        <w:rPr>
          <w:rFonts w:ascii="Arial" w:hAnsi="Arial" w:cs="Arial"/>
        </w:rPr>
      </w:r>
      <w:r>
        <w:rPr>
          <w:rFonts w:ascii="Arial" w:hAnsi="Arial" w:cs="Arial"/>
        </w:rPr>
      </w:r>
    </w:p>
    <w:p w14:paraId="473316CD" w14:textId="77777777">
      <w:pPr>
        <w:pBdr/>
        <w:spacing/>
        <w:ind/>
        <w:jc w:val="both"/>
        <w:rPr/>
      </w:pPr>
      <w:r>
        <w:rPr>
          <w:rFonts w:ascii="Arial" w:hAnsi="Arial" w:cs="Arial"/>
          <w:b/>
        </w:rPr>
        <w:t xml:space="preserve">16.2.</w:t>
      </w:r>
      <w:r>
        <w:rPr>
          <w:rFonts w:ascii="Arial" w:hAnsi="Arial" w:cs="Arial"/>
        </w:rPr>
        <w:t xml:space="preserve"> Serão aplicadas ao contratado que incorrer nas infrações acima descritas as seguintes sanções:</w:t>
      </w:r>
      <w:r/>
    </w:p>
    <w:p w14:paraId="0DFE8680" w14:textId="77777777">
      <w:pPr>
        <w:pBdr/>
        <w:spacing/>
        <w:ind/>
        <w:jc w:val="both"/>
        <w:rPr>
          <w:rFonts w:ascii="Arial" w:hAnsi="Arial" w:cs="Arial"/>
        </w:rPr>
      </w:pPr>
      <w:r>
        <w:rPr>
          <w:rFonts w:ascii="Arial" w:hAnsi="Arial" w:cs="Arial"/>
        </w:rPr>
      </w:r>
      <w:r>
        <w:rPr>
          <w:rFonts w:ascii="Arial" w:hAnsi="Arial" w:cs="Arial"/>
        </w:rPr>
      </w:r>
    </w:p>
    <w:p w14:paraId="787A8FAC" w14:textId="77777777">
      <w:pPr>
        <w:pBdr/>
        <w:spacing/>
        <w:ind/>
        <w:jc w:val="both"/>
        <w:rPr/>
      </w:pPr>
      <w:r>
        <w:rPr>
          <w:rFonts w:ascii="Arial" w:hAnsi="Arial" w:cs="Arial"/>
          <w:b/>
        </w:rPr>
        <w:t xml:space="preserve">16.2.1.</w:t>
      </w:r>
      <w:r>
        <w:rPr>
          <w:rFonts w:ascii="Arial" w:hAnsi="Arial" w:cs="Arial"/>
        </w:rPr>
        <w:t xml:space="preserve"> Advertência, quan</w:t>
      </w:r>
      <w:r>
        <w:rPr>
          <w:rFonts w:ascii="Arial" w:hAnsi="Arial" w:cs="Arial"/>
        </w:rPr>
        <w:t xml:space="preserve">do o contratado der causa à inexecução parcial do contrato que não implique em prejuízo ou dano à administração, bem como na hipótese de descumprimento de pequena relevância praticado pelo contratado e que não justifique imposição de penalidade mais grave;</w:t>
      </w:r>
      <w:r/>
    </w:p>
    <w:p w14:paraId="10E6BC03" w14:textId="77777777">
      <w:pPr>
        <w:pBdr/>
        <w:spacing/>
        <w:ind/>
        <w:jc w:val="both"/>
        <w:rPr>
          <w:rFonts w:ascii="Arial" w:hAnsi="Arial" w:cs="Arial"/>
        </w:rPr>
      </w:pPr>
      <w:r>
        <w:rPr>
          <w:rFonts w:ascii="Arial" w:hAnsi="Arial" w:cs="Arial"/>
        </w:rPr>
      </w:r>
      <w:r>
        <w:rPr>
          <w:rFonts w:ascii="Arial" w:hAnsi="Arial" w:cs="Arial"/>
        </w:rPr>
      </w:r>
    </w:p>
    <w:p w14:paraId="7EC782BF" w14:textId="77777777">
      <w:pPr>
        <w:pBdr/>
        <w:spacing/>
        <w:ind/>
        <w:jc w:val="both"/>
        <w:rPr/>
      </w:pPr>
      <w:r>
        <w:rPr>
          <w:rFonts w:ascii="Arial" w:hAnsi="Arial" w:cs="Arial"/>
          <w:b/>
        </w:rPr>
        <w:t xml:space="preserve">16.2.2.</w:t>
      </w:r>
      <w:r>
        <w:rPr>
          <w:rFonts w:ascii="Arial" w:hAnsi="Arial" w:cs="Arial"/>
        </w:rPr>
        <w:t xml:space="preserve"> Multa:</w:t>
      </w:r>
      <w:r/>
    </w:p>
    <w:p w14:paraId="46EFDA6A" w14:textId="77777777">
      <w:pPr>
        <w:pBdr/>
        <w:spacing/>
        <w:ind/>
        <w:jc w:val="both"/>
        <w:rPr>
          <w:rFonts w:ascii="Arial" w:hAnsi="Arial" w:cs="Arial"/>
        </w:rPr>
      </w:pPr>
      <w:r>
        <w:rPr>
          <w:rFonts w:ascii="Arial" w:hAnsi="Arial" w:cs="Arial"/>
        </w:rPr>
      </w:r>
      <w:r>
        <w:rPr>
          <w:rFonts w:ascii="Arial" w:hAnsi="Arial" w:cs="Arial"/>
        </w:rPr>
      </w:r>
    </w:p>
    <w:p w14:paraId="7A9AE640" w14:textId="77777777">
      <w:pPr>
        <w:pBdr/>
        <w:spacing/>
        <w:ind/>
        <w:jc w:val="both"/>
        <w:rPr/>
      </w:pPr>
      <w:r>
        <w:rPr>
          <w:rFonts w:ascii="Arial" w:hAnsi="Arial" w:cs="Arial"/>
          <w:b/>
        </w:rPr>
        <w:t xml:space="preserve">16.2.2.1.</w:t>
      </w:r>
      <w:r>
        <w:rPr>
          <w:rFonts w:ascii="Arial" w:hAnsi="Arial" w:cs="Arial"/>
        </w:rPr>
        <w:t xml:space="preserve"> Moratória: em razão do atraso injustificado: na proporção de 5 % (cinco por cento) do valor da parcela inadimplida por dia de atraso injustificado até o limite de 30 (trinta) dias corridos.</w:t>
      </w:r>
      <w:r/>
    </w:p>
    <w:p w14:paraId="23802BF9" w14:textId="77777777">
      <w:pPr>
        <w:pBdr/>
        <w:spacing/>
        <w:ind/>
        <w:jc w:val="both"/>
        <w:rPr>
          <w:rFonts w:ascii="Arial" w:hAnsi="Arial" w:cs="Arial"/>
        </w:rPr>
      </w:pPr>
      <w:r>
        <w:rPr>
          <w:rFonts w:ascii="Arial" w:hAnsi="Arial" w:cs="Arial"/>
        </w:rPr>
      </w:r>
      <w:r>
        <w:rPr>
          <w:rFonts w:ascii="Arial" w:hAnsi="Arial" w:cs="Arial"/>
        </w:rPr>
      </w:r>
    </w:p>
    <w:p w14:paraId="0723B9B7" w14:textId="77777777">
      <w:pPr>
        <w:pBdr/>
        <w:spacing/>
        <w:ind/>
        <w:jc w:val="both"/>
        <w:rPr/>
      </w:pPr>
      <w:r>
        <w:rPr>
          <w:rFonts w:ascii="Arial" w:hAnsi="Arial" w:cs="Arial"/>
          <w:b/>
        </w:rPr>
        <w:t xml:space="preserve">16.2.2.1.1</w:t>
      </w:r>
      <w:r>
        <w:rPr>
          <w:rFonts w:ascii="Arial" w:hAnsi="Arial" w:cs="Arial"/>
        </w:rPr>
        <w:t xml:space="preserve">. O atraso superior a 30 (trinta) dias autoriza a Administração a promover a extinção do contrato por descumprimento ou cumprimento irregular de suas cláusulas, conforme dispõe o inciso I do art. 137 da Lei n.</w:t>
      </w:r>
      <w:r/>
    </w:p>
    <w:p w14:paraId="0098552F" w14:textId="77777777">
      <w:pPr>
        <w:pBdr/>
        <w:spacing/>
        <w:ind/>
        <w:jc w:val="both"/>
        <w:rPr/>
      </w:pPr>
      <w:r>
        <w:rPr>
          <w:rFonts w:ascii="Arial" w:hAnsi="Arial" w:cs="Arial"/>
        </w:rPr>
        <w:t xml:space="preserve">14.133, de 2021.</w:t>
      </w:r>
      <w:r/>
    </w:p>
    <w:p w14:paraId="6F08AC49" w14:textId="77777777">
      <w:pPr>
        <w:pBdr/>
        <w:spacing/>
        <w:ind/>
        <w:jc w:val="both"/>
        <w:rPr>
          <w:rFonts w:ascii="Arial" w:hAnsi="Arial" w:cs="Arial"/>
        </w:rPr>
      </w:pPr>
      <w:r>
        <w:rPr>
          <w:rFonts w:ascii="Arial" w:hAnsi="Arial" w:cs="Arial"/>
        </w:rPr>
      </w:r>
      <w:r>
        <w:rPr>
          <w:rFonts w:ascii="Arial" w:hAnsi="Arial" w:cs="Arial"/>
        </w:rPr>
      </w:r>
    </w:p>
    <w:p w14:paraId="3AC65FE9" w14:textId="77777777">
      <w:pPr>
        <w:pBdr/>
        <w:spacing/>
        <w:ind/>
        <w:jc w:val="both"/>
        <w:rPr/>
      </w:pPr>
      <w:r>
        <w:rPr>
          <w:rFonts w:ascii="Arial" w:hAnsi="Arial" w:cs="Arial"/>
          <w:b/>
        </w:rPr>
        <w:t xml:space="preserve">16.2.2.2.</w:t>
      </w:r>
      <w:r>
        <w:rPr>
          <w:rFonts w:ascii="Arial" w:hAnsi="Arial" w:cs="Arial"/>
        </w:rPr>
        <w:t xml:space="preserve"> Compensatória: será aplicada multa de 0,5% até 30% sobre o valor do contrato, devendo a autoridade competente observar, na dosimetria da pena, as seguintes recomendações:</w:t>
      </w:r>
      <w:r/>
    </w:p>
    <w:p w14:paraId="675A4888" w14:textId="77777777">
      <w:pPr>
        <w:pBdr/>
        <w:spacing/>
        <w:ind/>
        <w:jc w:val="both"/>
        <w:rPr>
          <w:rFonts w:ascii="Arial" w:hAnsi="Arial" w:cs="Arial"/>
        </w:rPr>
      </w:pPr>
      <w:r>
        <w:rPr>
          <w:rFonts w:ascii="Arial" w:hAnsi="Arial" w:cs="Arial"/>
        </w:rPr>
      </w:r>
      <w:r>
        <w:rPr>
          <w:rFonts w:ascii="Arial" w:hAnsi="Arial" w:cs="Arial"/>
        </w:rPr>
      </w:r>
    </w:p>
    <w:p w14:paraId="0D9D6FE9" w14:textId="77777777">
      <w:pPr>
        <w:pBdr/>
        <w:spacing/>
        <w:ind/>
        <w:jc w:val="both"/>
        <w:rPr/>
      </w:pPr>
      <w:r>
        <w:rPr>
          <w:rFonts w:ascii="Arial" w:hAnsi="Arial" w:cs="Arial"/>
          <w:b/>
        </w:rPr>
        <w:t xml:space="preserve">16.2.2.2.1. </w:t>
      </w:r>
      <w:r>
        <w:rPr>
          <w:rFonts w:ascii="Arial" w:hAnsi="Arial" w:cs="Arial"/>
        </w:rPr>
        <w:t xml:space="preserve">Em casos</w:t>
      </w:r>
      <w:r>
        <w:rPr>
          <w:rFonts w:ascii="Arial" w:hAnsi="Arial" w:cs="Arial"/>
        </w:rPr>
        <w:t xml:space="preserve"> de inexecução parcial do contrato, que cause grave dano à Administração, ao funcionamento dos serviços públicos ou ao interesse coletivo (ítem 16.1.1), bem como quantos aos itens: 16.1.3 e 16.1.4, a multa será de 0,5% a 15% do valor do contrato licitado. </w:t>
      </w:r>
      <w:r/>
    </w:p>
    <w:p w14:paraId="6BDB03B3" w14:textId="77777777">
      <w:pPr>
        <w:pBdr/>
        <w:spacing/>
        <w:ind/>
        <w:jc w:val="both"/>
        <w:rPr>
          <w:rFonts w:ascii="Arial" w:hAnsi="Arial" w:cs="Arial"/>
        </w:rPr>
      </w:pPr>
      <w:r>
        <w:rPr>
          <w:rFonts w:ascii="Arial" w:hAnsi="Arial" w:cs="Arial"/>
        </w:rPr>
      </w:r>
      <w:r>
        <w:rPr>
          <w:rFonts w:ascii="Arial" w:hAnsi="Arial" w:cs="Arial"/>
        </w:rPr>
      </w:r>
    </w:p>
    <w:p w14:paraId="4C29E3DC" w14:textId="77777777">
      <w:pPr>
        <w:pBdr/>
        <w:spacing/>
        <w:ind/>
        <w:jc w:val="both"/>
        <w:rPr/>
      </w:pPr>
      <w:r>
        <w:rPr>
          <w:rFonts w:ascii="Arial" w:hAnsi="Arial" w:cs="Arial"/>
          <w:b/>
        </w:rPr>
        <w:t xml:space="preserve">16.2.2.2.2.</w:t>
      </w:r>
      <w:r>
        <w:rPr>
          <w:rFonts w:ascii="Arial" w:hAnsi="Arial" w:cs="Arial"/>
        </w:rPr>
        <w:t xml:space="preserve"> Em casos de ine</w:t>
      </w:r>
      <w:r>
        <w:rPr>
          <w:rFonts w:ascii="Arial" w:hAnsi="Arial" w:cs="Arial"/>
        </w:rPr>
        <w:t xml:space="preserve">xecução total do contrato (ítem 16.1.2), bem como quanto aos itens: 16.1.5; 16.1.6; 16.1.7; 16.1.8 e 16.1.9) nas hipóteses de atos fraudulentos com o objetivo de obter vantagens indevidas, a multa será fixada entre 15% a 30% do valor do contrato licitado. </w:t>
      </w:r>
      <w:r/>
    </w:p>
    <w:p w14:paraId="7E17563F" w14:textId="77777777">
      <w:pPr>
        <w:pBdr/>
        <w:spacing/>
        <w:ind/>
        <w:jc w:val="both"/>
        <w:rPr>
          <w:rFonts w:ascii="Arial" w:hAnsi="Arial" w:cs="Arial"/>
        </w:rPr>
      </w:pPr>
      <w:r>
        <w:rPr>
          <w:rFonts w:ascii="Arial" w:hAnsi="Arial" w:cs="Arial"/>
        </w:rPr>
      </w:r>
      <w:r>
        <w:rPr>
          <w:rFonts w:ascii="Arial" w:hAnsi="Arial" w:cs="Arial"/>
        </w:rPr>
      </w:r>
    </w:p>
    <w:p w14:paraId="60549B3B" w14:textId="77777777">
      <w:pPr>
        <w:pBdr/>
        <w:spacing/>
        <w:ind/>
        <w:jc w:val="both"/>
        <w:rPr/>
      </w:pPr>
      <w:r>
        <w:rPr>
          <w:rFonts w:ascii="Arial" w:hAnsi="Arial" w:cs="Arial"/>
          <w:b/>
        </w:rPr>
        <w:t xml:space="preserve">16.2.2.2.3.</w:t>
      </w:r>
      <w:r>
        <w:rPr>
          <w:rFonts w:ascii="Arial" w:hAnsi="Arial" w:cs="Arial"/>
        </w:rPr>
        <w:t xml:space="preserve"> No caso de inexecução total, a multa será aplicada independentemente da existência ou não do prejuízo ao contratante, implicando ainda na possibilidade de rescisão do contrato.</w:t>
      </w:r>
      <w:r/>
    </w:p>
    <w:p w14:paraId="28D41973" w14:textId="77777777">
      <w:pPr>
        <w:pBdr/>
        <w:spacing/>
        <w:ind/>
        <w:jc w:val="both"/>
        <w:rPr>
          <w:rFonts w:ascii="Arial" w:hAnsi="Arial" w:cs="Arial"/>
        </w:rPr>
      </w:pPr>
      <w:r>
        <w:rPr>
          <w:rFonts w:ascii="Arial" w:hAnsi="Arial" w:cs="Arial"/>
        </w:rPr>
      </w:r>
      <w:r>
        <w:rPr>
          <w:rFonts w:ascii="Arial" w:hAnsi="Arial" w:cs="Arial"/>
        </w:rPr>
      </w:r>
    </w:p>
    <w:p w14:paraId="6BE123A5" w14:textId="77777777">
      <w:pPr>
        <w:pBdr/>
        <w:spacing/>
        <w:ind/>
        <w:jc w:val="both"/>
        <w:rPr/>
      </w:pPr>
      <w:r>
        <w:rPr>
          <w:rFonts w:ascii="Arial" w:hAnsi="Arial" w:cs="Arial"/>
          <w:b/>
        </w:rPr>
        <w:t xml:space="preserve">16.2.2.3.</w:t>
      </w:r>
      <w:r>
        <w:rPr>
          <w:rFonts w:ascii="Arial" w:hAnsi="Arial" w:cs="Arial"/>
        </w:rPr>
        <w:t xml:space="preserve"> Antes da aplicação da multa será facultada a defesa do interessado no prazo de 15 (quinze) dias úteis, contado da data de sua intimação.</w:t>
      </w:r>
      <w:r/>
    </w:p>
    <w:p w14:paraId="37216D19" w14:textId="77777777">
      <w:pPr>
        <w:pBdr/>
        <w:spacing/>
        <w:ind/>
        <w:jc w:val="both"/>
        <w:rPr>
          <w:rFonts w:ascii="Arial" w:hAnsi="Arial" w:cs="Arial"/>
        </w:rPr>
      </w:pPr>
      <w:r>
        <w:rPr>
          <w:rFonts w:ascii="Arial" w:hAnsi="Arial" w:cs="Arial"/>
        </w:rPr>
      </w:r>
      <w:r>
        <w:rPr>
          <w:rFonts w:ascii="Arial" w:hAnsi="Arial" w:cs="Arial"/>
        </w:rPr>
      </w:r>
    </w:p>
    <w:p w14:paraId="1863312D" w14:textId="77777777">
      <w:pPr>
        <w:pBdr/>
        <w:spacing/>
        <w:ind/>
        <w:jc w:val="both"/>
        <w:rPr/>
      </w:pPr>
      <w:r>
        <w:rPr>
          <w:rFonts w:ascii="Arial" w:hAnsi="Arial" w:cs="Arial"/>
          <w:b/>
        </w:rPr>
        <w:t xml:space="preserve">16.2.2.4.</w:t>
      </w:r>
      <w:r>
        <w:rPr>
          <w:rFonts w:ascii="Arial" w:hAnsi="Arial" w:cs="Arial"/>
        </w:rPr>
        <w:t xml:space="preserve"> Se a multa aplicada e as indenizações cabíveis forem superiores ao valor do pagamento eventualmente devido pelo contratante ao contratado, além da perda desse valor, a diferença será descontada da garantia prestada ou será cobrada judicialmente.</w:t>
      </w:r>
      <w:r/>
    </w:p>
    <w:p w14:paraId="30623DB3" w14:textId="77777777">
      <w:pPr>
        <w:pBdr/>
        <w:spacing/>
        <w:ind/>
        <w:jc w:val="both"/>
        <w:rPr>
          <w:rFonts w:ascii="Arial" w:hAnsi="Arial" w:cs="Arial"/>
        </w:rPr>
      </w:pPr>
      <w:r>
        <w:rPr>
          <w:rFonts w:ascii="Arial" w:hAnsi="Arial" w:cs="Arial"/>
        </w:rPr>
      </w:r>
      <w:r>
        <w:rPr>
          <w:rFonts w:ascii="Arial" w:hAnsi="Arial" w:cs="Arial"/>
        </w:rPr>
      </w:r>
    </w:p>
    <w:p w14:paraId="43E5D844" w14:textId="77777777">
      <w:pPr>
        <w:pBdr/>
        <w:spacing/>
        <w:ind/>
        <w:jc w:val="both"/>
        <w:rPr/>
      </w:pPr>
      <w:r>
        <w:rPr>
          <w:rFonts w:ascii="Arial" w:hAnsi="Arial" w:cs="Arial"/>
          <w:b/>
        </w:rPr>
        <w:t xml:space="preserve">16.2.2.5.</w:t>
      </w:r>
      <w:r>
        <w:rPr>
          <w:rFonts w:ascii="Arial" w:hAnsi="Arial" w:cs="Arial"/>
        </w:rPr>
        <w:t xml:space="preserve"> Caso o cont</w:t>
      </w:r>
      <w:r>
        <w:rPr>
          <w:rFonts w:ascii="Arial" w:hAnsi="Arial" w:cs="Arial"/>
        </w:rPr>
        <w:t xml:space="preserve">ratado não tenha nenhum valor a receber do contratante, ou os valores do pagamento e da garantia contratual forem insuficientes, o contratante concederá o prazo de 05 (cinco) dias úteis, contados do recebimento de sua intimação, para que a multa seja paga.</w:t>
      </w:r>
      <w:r/>
    </w:p>
    <w:p w14:paraId="63A6732E" w14:textId="77777777">
      <w:pPr>
        <w:pBdr/>
        <w:spacing/>
        <w:ind/>
        <w:jc w:val="both"/>
        <w:rPr>
          <w:rFonts w:ascii="Arial" w:hAnsi="Arial" w:cs="Arial"/>
        </w:rPr>
      </w:pPr>
      <w:r>
        <w:rPr>
          <w:rFonts w:ascii="Arial" w:hAnsi="Arial" w:cs="Arial"/>
        </w:rPr>
      </w:r>
      <w:r>
        <w:rPr>
          <w:rFonts w:ascii="Arial" w:hAnsi="Arial" w:cs="Arial"/>
        </w:rPr>
      </w:r>
    </w:p>
    <w:p w14:paraId="039D9AAF" w14:textId="77777777">
      <w:pPr>
        <w:pBdr/>
        <w:spacing/>
        <w:ind/>
        <w:jc w:val="both"/>
        <w:rPr>
          <w:rFonts w:ascii="Arial" w:hAnsi="Arial" w:cs="Arial"/>
        </w:rPr>
      </w:pPr>
      <w:r>
        <w:rPr>
          <w:rFonts w:ascii="Arial" w:hAnsi="Arial" w:cs="Arial"/>
          <w:b/>
        </w:rPr>
        <w:t xml:space="preserve">16.2.2.6.</w:t>
      </w:r>
      <w:r>
        <w:rPr>
          <w:rFonts w:ascii="Arial" w:hAnsi="Arial" w:cs="Arial"/>
        </w:rPr>
        <w:t xml:space="preserve"> Esgotados os meios administrativos para a cobrança dos valores devidos, o contratante providenciará o encaminhamento do processo à Procuradoria-Geral do Município para que seja realizada a cobrança judicial.</w:t>
      </w:r>
      <w:r>
        <w:rPr>
          <w:rFonts w:ascii="Arial" w:hAnsi="Arial" w:cs="Arial"/>
        </w:rPr>
      </w:r>
    </w:p>
    <w:p w14:paraId="5043DF6D" w14:textId="77777777">
      <w:pPr>
        <w:pBdr/>
        <w:spacing/>
        <w:ind/>
        <w:jc w:val="both"/>
        <w:rPr/>
      </w:pPr>
      <w:r/>
      <w:r/>
    </w:p>
    <w:p w14:paraId="56DF26BF" w14:textId="77777777">
      <w:pPr>
        <w:pBdr/>
        <w:spacing/>
        <w:ind/>
        <w:jc w:val="both"/>
        <w:rPr/>
      </w:pPr>
      <w:r>
        <w:rPr>
          <w:rFonts w:ascii="Arial" w:hAnsi="Arial" w:cs="Arial"/>
          <w:b/>
        </w:rPr>
        <w:t xml:space="preserve">16.2.2.7.</w:t>
      </w:r>
      <w:r>
        <w:rPr>
          <w:rFonts w:ascii="Arial" w:hAnsi="Arial" w:cs="Arial"/>
        </w:rPr>
        <w:t xml:space="preserve"> Caso o contratante tenha de recorrer ou comparecer a juízo para haver o que lhe for devido, o contratado ficará sujeita ao pagamento, além do princi</w:t>
      </w:r>
      <w:r>
        <w:rPr>
          <w:rFonts w:ascii="Arial" w:hAnsi="Arial" w:cs="Arial"/>
        </w:rPr>
        <w:t xml:space="preserve">pal do débito, da pena convencional de 10% (dez por cento) sobre o valor do litígio, dos juros de mora de 1% (um por cento) ao mês, despesas de processo e honorários de advogado, estes fixados, desde logo, em 20% (vinte por cento) sobre o valor em litígio.</w:t>
      </w:r>
      <w:r/>
    </w:p>
    <w:p w14:paraId="49DE5889" w14:textId="77777777">
      <w:pPr>
        <w:pBdr/>
        <w:spacing/>
        <w:ind/>
        <w:jc w:val="both"/>
        <w:rPr>
          <w:rFonts w:ascii="Arial" w:hAnsi="Arial" w:cs="Arial"/>
        </w:rPr>
      </w:pPr>
      <w:r>
        <w:rPr>
          <w:rFonts w:ascii="Arial" w:hAnsi="Arial" w:cs="Arial"/>
        </w:rPr>
      </w:r>
      <w:r>
        <w:rPr>
          <w:rFonts w:ascii="Arial" w:hAnsi="Arial" w:cs="Arial"/>
        </w:rPr>
      </w:r>
    </w:p>
    <w:p w14:paraId="71F74FDD" w14:textId="77777777">
      <w:pPr>
        <w:pBdr/>
        <w:spacing/>
        <w:ind/>
        <w:jc w:val="both"/>
        <w:rPr/>
      </w:pPr>
      <w:r>
        <w:rPr>
          <w:rFonts w:ascii="Arial" w:hAnsi="Arial" w:cs="Arial"/>
          <w:b/>
        </w:rPr>
        <w:t xml:space="preserve">16.2.2.8.</w:t>
      </w:r>
      <w:r>
        <w:rPr>
          <w:rFonts w:ascii="Arial" w:hAnsi="Arial" w:cs="Arial"/>
        </w:rPr>
        <w:t xml:space="preserve"> A aplicação de multa de mora não impedirá que a Administração a converta em compensatória e promova a extinção unilateral do contrato com a aplicação cumulada de outras sanções previstas na Lei 14.133/2021.</w:t>
      </w:r>
      <w:r/>
    </w:p>
    <w:p w14:paraId="37BFD828" w14:textId="77777777">
      <w:pPr>
        <w:pBdr/>
        <w:spacing/>
        <w:ind/>
        <w:jc w:val="both"/>
        <w:rPr>
          <w:rFonts w:ascii="Arial" w:hAnsi="Arial" w:cs="Arial"/>
        </w:rPr>
      </w:pPr>
      <w:r>
        <w:rPr>
          <w:rFonts w:ascii="Arial" w:hAnsi="Arial" w:cs="Arial"/>
        </w:rPr>
      </w:r>
      <w:r>
        <w:rPr>
          <w:rFonts w:ascii="Arial" w:hAnsi="Arial" w:cs="Arial"/>
        </w:rPr>
      </w:r>
    </w:p>
    <w:p w14:paraId="55D44E92" w14:textId="77777777">
      <w:pPr>
        <w:pBdr/>
        <w:spacing/>
        <w:ind/>
        <w:jc w:val="both"/>
        <w:rPr/>
      </w:pPr>
      <w:r>
        <w:rPr>
          <w:rFonts w:ascii="Arial" w:hAnsi="Arial" w:cs="Arial"/>
          <w:b/>
        </w:rPr>
        <w:t xml:space="preserve">16.2.3.</w:t>
      </w:r>
      <w:r>
        <w:rPr>
          <w:rFonts w:ascii="Arial" w:hAnsi="Arial" w:cs="Arial"/>
        </w:rPr>
        <w:t xml:space="preserve"> Impedimento de licitar e contratar, caso não se justifique imposição de penalidade mais grave.</w:t>
      </w:r>
      <w:r/>
    </w:p>
    <w:p w14:paraId="4CD72149" w14:textId="77777777">
      <w:pPr>
        <w:pBdr/>
        <w:spacing/>
        <w:ind/>
        <w:jc w:val="both"/>
        <w:rPr>
          <w:rFonts w:ascii="Arial" w:hAnsi="Arial" w:cs="Arial"/>
          <w:b/>
        </w:rPr>
      </w:pPr>
      <w:r>
        <w:rPr>
          <w:rFonts w:ascii="Arial" w:hAnsi="Arial" w:cs="Arial"/>
          <w:b/>
        </w:rPr>
      </w:r>
      <w:r>
        <w:rPr>
          <w:rFonts w:ascii="Arial" w:hAnsi="Arial" w:cs="Arial"/>
          <w:b/>
        </w:rPr>
      </w:r>
    </w:p>
    <w:p w14:paraId="7424DD16" w14:textId="77777777">
      <w:pPr>
        <w:pBdr/>
        <w:spacing/>
        <w:ind/>
        <w:jc w:val="both"/>
        <w:rPr/>
      </w:pPr>
      <w:r>
        <w:rPr>
          <w:rFonts w:ascii="Arial" w:hAnsi="Arial" w:cs="Arial"/>
          <w:b/>
        </w:rPr>
        <w:t xml:space="preserve">16.2.3.1.</w:t>
      </w:r>
      <w:r>
        <w:rPr>
          <w:rFonts w:ascii="Arial" w:hAnsi="Arial" w:cs="Arial"/>
        </w:rPr>
        <w:t xml:space="preserve"> Essa penalidade poderá ser aplicada nas seguintes hipóteses:</w:t>
      </w:r>
      <w:r/>
    </w:p>
    <w:p w14:paraId="45428097" w14:textId="77777777">
      <w:pPr>
        <w:pBdr/>
        <w:spacing/>
        <w:ind/>
        <w:jc w:val="both"/>
        <w:rPr>
          <w:rFonts w:ascii="Arial" w:hAnsi="Arial" w:cs="Arial"/>
        </w:rPr>
      </w:pPr>
      <w:r>
        <w:rPr>
          <w:rFonts w:ascii="Arial" w:hAnsi="Arial" w:cs="Arial"/>
        </w:rPr>
      </w:r>
      <w:r>
        <w:rPr>
          <w:rFonts w:ascii="Arial" w:hAnsi="Arial" w:cs="Arial"/>
        </w:rPr>
      </w:r>
    </w:p>
    <w:p w14:paraId="234BF467" w14:textId="77777777">
      <w:pPr>
        <w:pBdr/>
        <w:spacing/>
        <w:ind/>
        <w:jc w:val="both"/>
        <w:rPr/>
      </w:pPr>
      <w:r>
        <w:rPr>
          <w:rFonts w:ascii="Arial" w:hAnsi="Arial" w:cs="Arial"/>
          <w:b/>
        </w:rPr>
        <w:t xml:space="preserve">16.2.3.1.1.</w:t>
      </w:r>
      <w:r>
        <w:rPr>
          <w:rFonts w:ascii="Arial" w:hAnsi="Arial" w:cs="Arial"/>
        </w:rPr>
        <w:t xml:space="preserve"> Der causa à inexecução parcial do contrato que cause grave dano à Administração, ao funcionamento dos serviços públicos ou ao interesse coletivo;</w:t>
      </w:r>
      <w:r/>
    </w:p>
    <w:p w14:paraId="33EBDB33" w14:textId="77777777">
      <w:pPr>
        <w:pBdr/>
        <w:spacing/>
        <w:ind/>
        <w:jc w:val="both"/>
        <w:rPr/>
      </w:pPr>
      <w:r>
        <w:rPr>
          <w:rFonts w:ascii="Arial" w:hAnsi="Arial" w:cs="Arial"/>
          <w:b/>
        </w:rPr>
        <w:t xml:space="preserve">16.2.3.1.2</w:t>
      </w:r>
      <w:r>
        <w:rPr>
          <w:rFonts w:ascii="Arial" w:hAnsi="Arial" w:cs="Arial"/>
        </w:rPr>
        <w:t xml:space="preserve">. Der causa à inexecução total do contrato;</w:t>
      </w:r>
      <w:r/>
    </w:p>
    <w:p w14:paraId="7A450DD0" w14:textId="77777777">
      <w:pPr>
        <w:pBdr/>
        <w:spacing/>
        <w:ind/>
        <w:jc w:val="both"/>
        <w:rPr>
          <w:rFonts w:ascii="Arial" w:hAnsi="Arial" w:cs="Arial"/>
        </w:rPr>
      </w:pPr>
      <w:r>
        <w:rPr>
          <w:rFonts w:ascii="Arial" w:hAnsi="Arial" w:cs="Arial"/>
        </w:rPr>
      </w:r>
      <w:r>
        <w:rPr>
          <w:rFonts w:ascii="Arial" w:hAnsi="Arial" w:cs="Arial"/>
        </w:rPr>
      </w:r>
    </w:p>
    <w:p w14:paraId="462FE00B" w14:textId="77777777">
      <w:pPr>
        <w:pBdr/>
        <w:spacing/>
        <w:ind/>
        <w:jc w:val="both"/>
        <w:rPr/>
      </w:pPr>
      <w:r>
        <w:rPr>
          <w:rFonts w:ascii="Arial" w:hAnsi="Arial" w:cs="Arial"/>
          <w:b/>
        </w:rPr>
        <w:t xml:space="preserve">16.2.3.1.3</w:t>
      </w:r>
      <w:r>
        <w:rPr>
          <w:rFonts w:ascii="Arial" w:hAnsi="Arial" w:cs="Arial"/>
        </w:rPr>
        <w:t xml:space="preserve">. Deixar de entregar a documentação exigida para o certame;</w:t>
      </w:r>
      <w:r/>
    </w:p>
    <w:p w14:paraId="35B2ED06" w14:textId="77777777">
      <w:pPr>
        <w:pBdr/>
        <w:spacing/>
        <w:ind/>
        <w:jc w:val="both"/>
        <w:rPr>
          <w:rFonts w:ascii="Arial" w:hAnsi="Arial" w:cs="Arial"/>
        </w:rPr>
      </w:pPr>
      <w:r>
        <w:rPr>
          <w:rFonts w:ascii="Arial" w:hAnsi="Arial" w:cs="Arial"/>
        </w:rPr>
      </w:r>
      <w:r>
        <w:rPr>
          <w:rFonts w:ascii="Arial" w:hAnsi="Arial" w:cs="Arial"/>
        </w:rPr>
      </w:r>
    </w:p>
    <w:p w14:paraId="2C3BCFA7" w14:textId="77777777">
      <w:pPr>
        <w:pBdr/>
        <w:spacing/>
        <w:ind/>
        <w:jc w:val="both"/>
        <w:rPr/>
      </w:pPr>
      <w:r>
        <w:rPr>
          <w:rFonts w:ascii="Arial" w:hAnsi="Arial" w:cs="Arial"/>
          <w:b/>
        </w:rPr>
        <w:t xml:space="preserve">16.2.3.1.4</w:t>
      </w:r>
      <w:r>
        <w:rPr>
          <w:rFonts w:ascii="Arial" w:hAnsi="Arial" w:cs="Arial"/>
        </w:rPr>
        <w:t xml:space="preserve">. Não manter a proposta, salvo em decorrência de fato superveniente devidamente justificado;</w:t>
      </w:r>
      <w:r/>
    </w:p>
    <w:p w14:paraId="0D9A16A8" w14:textId="77777777">
      <w:pPr>
        <w:pBdr/>
        <w:spacing/>
        <w:ind/>
        <w:jc w:val="both"/>
        <w:rPr>
          <w:rFonts w:ascii="Arial" w:hAnsi="Arial" w:cs="Arial"/>
        </w:rPr>
      </w:pPr>
      <w:r>
        <w:rPr>
          <w:rFonts w:ascii="Arial" w:hAnsi="Arial" w:cs="Arial"/>
        </w:rPr>
      </w:r>
      <w:r>
        <w:rPr>
          <w:rFonts w:ascii="Arial" w:hAnsi="Arial" w:cs="Arial"/>
        </w:rPr>
      </w:r>
    </w:p>
    <w:p w14:paraId="6B63EE77" w14:textId="77777777">
      <w:pPr>
        <w:pBdr/>
        <w:spacing/>
        <w:ind/>
        <w:jc w:val="both"/>
        <w:rPr/>
      </w:pPr>
      <w:r>
        <w:rPr>
          <w:rFonts w:ascii="Arial" w:hAnsi="Arial" w:cs="Arial"/>
          <w:b/>
        </w:rPr>
        <w:t xml:space="preserve">16.2.3.1.5.</w:t>
      </w:r>
      <w:r>
        <w:rPr>
          <w:rFonts w:ascii="Arial" w:hAnsi="Arial" w:cs="Arial"/>
        </w:rPr>
        <w:t xml:space="preserve"> Não celebrar o contrato ou não entregar a documentação exigida para a contratação, quando convocado dentro do prazo de validade de sua proposta;</w:t>
      </w:r>
      <w:r/>
    </w:p>
    <w:p w14:paraId="73C03759" w14:textId="77777777">
      <w:pPr>
        <w:pBdr/>
        <w:spacing/>
        <w:ind/>
        <w:jc w:val="both"/>
        <w:rPr>
          <w:rFonts w:ascii="Arial" w:hAnsi="Arial" w:cs="Arial"/>
        </w:rPr>
      </w:pPr>
      <w:r>
        <w:rPr>
          <w:rFonts w:ascii="Arial" w:hAnsi="Arial" w:cs="Arial"/>
        </w:rPr>
      </w:r>
      <w:r>
        <w:rPr>
          <w:rFonts w:ascii="Arial" w:hAnsi="Arial" w:cs="Arial"/>
        </w:rPr>
      </w:r>
    </w:p>
    <w:p w14:paraId="301855BB" w14:textId="77777777">
      <w:pPr>
        <w:pBdr/>
        <w:spacing/>
        <w:ind/>
        <w:jc w:val="both"/>
        <w:rPr/>
      </w:pPr>
      <w:r>
        <w:rPr>
          <w:rFonts w:ascii="Arial" w:hAnsi="Arial" w:cs="Arial"/>
          <w:b/>
        </w:rPr>
        <w:t xml:space="preserve">16.2.3.1.6.</w:t>
      </w:r>
      <w:r>
        <w:rPr>
          <w:rFonts w:ascii="Arial" w:hAnsi="Arial" w:cs="Arial"/>
        </w:rPr>
        <w:t xml:space="preserve"> Ensejar o retardamento da execução ou da entrega do objeto da licitação sem motivo justificado.</w:t>
      </w:r>
      <w:r/>
    </w:p>
    <w:p w14:paraId="309DBF46" w14:textId="77777777">
      <w:pPr>
        <w:pBdr/>
        <w:spacing/>
        <w:ind/>
        <w:jc w:val="both"/>
        <w:rPr>
          <w:rFonts w:ascii="Arial" w:hAnsi="Arial" w:cs="Arial"/>
        </w:rPr>
      </w:pPr>
      <w:r>
        <w:rPr>
          <w:rFonts w:ascii="Arial" w:hAnsi="Arial" w:cs="Arial"/>
        </w:rPr>
      </w:r>
      <w:r>
        <w:rPr>
          <w:rFonts w:ascii="Arial" w:hAnsi="Arial" w:cs="Arial"/>
        </w:rPr>
      </w:r>
    </w:p>
    <w:p w14:paraId="2EBFC030" w14:textId="77777777">
      <w:pPr>
        <w:pBdr/>
        <w:spacing/>
        <w:ind/>
        <w:jc w:val="both"/>
        <w:rPr/>
      </w:pPr>
      <w:r>
        <w:rPr>
          <w:rFonts w:ascii="Arial" w:hAnsi="Arial" w:cs="Arial"/>
          <w:b/>
        </w:rPr>
        <w:t xml:space="preserve">16.2.4.</w:t>
      </w:r>
      <w:r>
        <w:rPr>
          <w:rFonts w:ascii="Arial" w:hAnsi="Arial" w:cs="Arial"/>
        </w:rPr>
        <w:t xml:space="preserve"> As condutas aqui enumeradas também podem justificar a aplicação da declaração de inidoneidade quando as circunstâncias do caso concreto justificarem a imposição de penalidade mais grave.</w:t>
      </w:r>
      <w:r/>
    </w:p>
    <w:p w14:paraId="0D3CD086" w14:textId="77777777">
      <w:pPr>
        <w:pBdr/>
        <w:spacing/>
        <w:ind/>
        <w:jc w:val="both"/>
        <w:rPr>
          <w:rFonts w:ascii="Arial" w:hAnsi="Arial" w:cs="Arial"/>
        </w:rPr>
      </w:pPr>
      <w:r>
        <w:rPr>
          <w:rFonts w:ascii="Arial" w:hAnsi="Arial" w:cs="Arial"/>
        </w:rPr>
      </w:r>
      <w:r>
        <w:rPr>
          <w:rFonts w:ascii="Arial" w:hAnsi="Arial" w:cs="Arial"/>
        </w:rPr>
      </w:r>
    </w:p>
    <w:p w14:paraId="71186B69" w14:textId="77777777">
      <w:pPr>
        <w:pBdr/>
        <w:spacing/>
        <w:ind/>
        <w:jc w:val="both"/>
        <w:rPr/>
      </w:pPr>
      <w:r>
        <w:rPr>
          <w:rFonts w:ascii="Arial" w:hAnsi="Arial" w:cs="Arial"/>
          <w:b/>
        </w:rPr>
        <w:t xml:space="preserve">16.2.4.1.</w:t>
      </w:r>
      <w:r>
        <w:rPr>
          <w:rFonts w:ascii="Arial" w:hAnsi="Arial" w:cs="Arial"/>
        </w:rPr>
        <w:t xml:space="preserve"> Declaração de inidoneidade para licitar e contratar.</w:t>
      </w:r>
      <w:r/>
    </w:p>
    <w:p w14:paraId="50DD86F7" w14:textId="77777777">
      <w:pPr>
        <w:pBdr/>
        <w:spacing/>
        <w:ind/>
        <w:jc w:val="both"/>
        <w:rPr>
          <w:rFonts w:ascii="Arial" w:hAnsi="Arial" w:cs="Arial"/>
        </w:rPr>
      </w:pPr>
      <w:r>
        <w:rPr>
          <w:rFonts w:ascii="Arial" w:hAnsi="Arial" w:cs="Arial"/>
        </w:rPr>
      </w:r>
      <w:r>
        <w:rPr>
          <w:rFonts w:ascii="Arial" w:hAnsi="Arial" w:cs="Arial"/>
        </w:rPr>
      </w:r>
    </w:p>
    <w:p w14:paraId="5D8F9A41" w14:textId="77777777">
      <w:pPr>
        <w:pBdr/>
        <w:spacing/>
        <w:ind/>
        <w:jc w:val="both"/>
        <w:rPr/>
      </w:pPr>
      <w:r>
        <w:rPr>
          <w:rFonts w:ascii="Arial" w:hAnsi="Arial" w:cs="Arial"/>
          <w:b/>
        </w:rPr>
        <w:t xml:space="preserve">16.2.4.2.</w:t>
      </w:r>
      <w:r>
        <w:rPr>
          <w:rFonts w:ascii="Arial" w:hAnsi="Arial" w:cs="Arial"/>
        </w:rPr>
        <w:t xml:space="preserve"> A declaração de inidoneidade par</w:t>
      </w:r>
      <w:r>
        <w:rPr>
          <w:rFonts w:ascii="Arial" w:hAnsi="Arial" w:cs="Arial"/>
        </w:rPr>
        <w:t xml:space="preserve">a licitar e contratar pode ser aplicada por qualquer ente da federação impedirá o responsável de licitar e contratar com a Administração Pública direta e indireta do município de Rondonópolis-MT pelo prazo mínimo de 3 (três) anos e máximo de 6 (seis) anos.</w:t>
      </w:r>
      <w:r/>
    </w:p>
    <w:p w14:paraId="691D985C" w14:textId="77777777">
      <w:pPr>
        <w:pBdr/>
        <w:spacing/>
        <w:ind/>
        <w:jc w:val="both"/>
        <w:rPr>
          <w:rFonts w:ascii="Arial" w:hAnsi="Arial" w:cs="Arial"/>
        </w:rPr>
      </w:pPr>
      <w:r>
        <w:rPr>
          <w:rFonts w:ascii="Arial" w:hAnsi="Arial" w:cs="Arial"/>
        </w:rPr>
      </w:r>
      <w:r>
        <w:rPr>
          <w:rFonts w:ascii="Arial" w:hAnsi="Arial" w:cs="Arial"/>
        </w:rPr>
      </w:r>
    </w:p>
    <w:p w14:paraId="2F6AFF14" w14:textId="77777777">
      <w:pPr>
        <w:pBdr/>
        <w:spacing/>
        <w:ind/>
        <w:jc w:val="both"/>
        <w:rPr/>
      </w:pPr>
      <w:r>
        <w:rPr>
          <w:rFonts w:ascii="Arial" w:hAnsi="Arial" w:cs="Arial"/>
          <w:b/>
        </w:rPr>
        <w:t xml:space="preserve">16.2.4.2.1</w:t>
      </w:r>
      <w:r>
        <w:rPr>
          <w:rFonts w:ascii="Arial" w:hAnsi="Arial" w:cs="Arial"/>
        </w:rPr>
        <w:t xml:space="preserve">. Essa penalidade poderá ser aplicada nas seguintes hipóteses:</w:t>
      </w:r>
      <w:r/>
    </w:p>
    <w:p w14:paraId="36C86D32" w14:textId="77777777">
      <w:pPr>
        <w:pBdr/>
        <w:spacing/>
        <w:ind/>
        <w:jc w:val="both"/>
        <w:rPr>
          <w:rFonts w:ascii="Arial" w:hAnsi="Arial" w:cs="Arial"/>
        </w:rPr>
      </w:pPr>
      <w:r>
        <w:rPr>
          <w:rFonts w:ascii="Arial" w:hAnsi="Arial" w:cs="Arial"/>
        </w:rPr>
      </w:r>
      <w:r>
        <w:rPr>
          <w:rFonts w:ascii="Arial" w:hAnsi="Arial" w:cs="Arial"/>
        </w:rPr>
      </w:r>
    </w:p>
    <w:p w14:paraId="4211E337" w14:textId="77777777">
      <w:pPr>
        <w:pBdr/>
        <w:spacing/>
        <w:ind/>
        <w:jc w:val="both"/>
        <w:rPr/>
      </w:pPr>
      <w:r>
        <w:rPr>
          <w:rFonts w:ascii="Arial" w:hAnsi="Arial" w:cs="Arial"/>
          <w:b/>
        </w:rPr>
        <w:t xml:space="preserve">16.2.4.2.1.</w:t>
      </w:r>
      <w:r>
        <w:rPr>
          <w:rFonts w:ascii="Arial" w:hAnsi="Arial" w:cs="Arial"/>
        </w:rPr>
        <w:t xml:space="preserve"> Apresentar declaração ou documentação falsa exigida para o certame ou prestar declaração falsa durante a licitação ou a execução do contrato;</w:t>
      </w:r>
      <w:r/>
    </w:p>
    <w:p w14:paraId="43469CD5" w14:textId="77777777">
      <w:pPr>
        <w:pBdr/>
        <w:spacing/>
        <w:ind/>
        <w:jc w:val="both"/>
        <w:rPr>
          <w:rFonts w:ascii="Arial" w:hAnsi="Arial" w:cs="Arial"/>
        </w:rPr>
      </w:pPr>
      <w:r>
        <w:rPr>
          <w:rFonts w:ascii="Arial" w:hAnsi="Arial" w:cs="Arial"/>
        </w:rPr>
      </w:r>
      <w:r>
        <w:rPr>
          <w:rFonts w:ascii="Arial" w:hAnsi="Arial" w:cs="Arial"/>
        </w:rPr>
      </w:r>
    </w:p>
    <w:p w14:paraId="06FB67C8" w14:textId="77777777">
      <w:pPr>
        <w:pBdr/>
        <w:spacing/>
        <w:ind/>
        <w:jc w:val="both"/>
        <w:rPr/>
      </w:pPr>
      <w:r>
        <w:rPr>
          <w:rFonts w:ascii="Arial" w:hAnsi="Arial" w:cs="Arial"/>
          <w:b/>
        </w:rPr>
        <w:t xml:space="preserve">16.2.4.2.3.</w:t>
      </w:r>
      <w:r>
        <w:rPr>
          <w:rFonts w:ascii="Arial" w:hAnsi="Arial" w:cs="Arial"/>
        </w:rPr>
        <w:t xml:space="preserve"> Fraudar a licitação ou praticar ato fraudulento na execução do contrato;</w:t>
      </w:r>
      <w:r/>
    </w:p>
    <w:p w14:paraId="75C9134F" w14:textId="77777777">
      <w:pPr>
        <w:pBdr/>
        <w:spacing/>
        <w:ind/>
        <w:jc w:val="both"/>
        <w:rPr>
          <w:rFonts w:ascii="Arial" w:hAnsi="Arial" w:cs="Arial"/>
        </w:rPr>
      </w:pPr>
      <w:r>
        <w:rPr>
          <w:rFonts w:ascii="Arial" w:hAnsi="Arial" w:cs="Arial"/>
        </w:rPr>
      </w:r>
      <w:r>
        <w:rPr>
          <w:rFonts w:ascii="Arial" w:hAnsi="Arial" w:cs="Arial"/>
        </w:rPr>
      </w:r>
    </w:p>
    <w:p w14:paraId="3DF6AB9F" w14:textId="77777777">
      <w:pPr>
        <w:pBdr/>
        <w:spacing/>
        <w:ind/>
        <w:jc w:val="both"/>
        <w:rPr/>
      </w:pPr>
      <w:r>
        <w:rPr>
          <w:rFonts w:ascii="Arial" w:hAnsi="Arial" w:cs="Arial"/>
          <w:b/>
        </w:rPr>
        <w:t xml:space="preserve">16.2.4.2.4.</w:t>
      </w:r>
      <w:r>
        <w:rPr>
          <w:rFonts w:ascii="Arial" w:hAnsi="Arial" w:cs="Arial"/>
        </w:rPr>
        <w:t xml:space="preserve"> Comportar-se de modo inidôneo ou cometer fraude de qualquer natureza;</w:t>
      </w:r>
      <w:r/>
    </w:p>
    <w:p w14:paraId="3B22B839" w14:textId="77777777">
      <w:pPr>
        <w:pBdr/>
        <w:spacing/>
        <w:ind/>
        <w:jc w:val="both"/>
        <w:rPr>
          <w:rFonts w:ascii="Arial" w:hAnsi="Arial" w:cs="Arial"/>
        </w:rPr>
      </w:pPr>
      <w:r>
        <w:rPr>
          <w:rFonts w:ascii="Arial" w:hAnsi="Arial" w:cs="Arial"/>
        </w:rPr>
      </w:r>
      <w:r>
        <w:rPr>
          <w:rFonts w:ascii="Arial" w:hAnsi="Arial" w:cs="Arial"/>
        </w:rPr>
      </w:r>
    </w:p>
    <w:p w14:paraId="3E0224CB" w14:textId="77777777">
      <w:pPr>
        <w:pBdr/>
        <w:spacing/>
        <w:ind/>
        <w:jc w:val="both"/>
        <w:rPr/>
      </w:pPr>
      <w:r>
        <w:rPr>
          <w:rFonts w:ascii="Arial" w:hAnsi="Arial" w:cs="Arial"/>
          <w:b/>
        </w:rPr>
        <w:t xml:space="preserve">16.2.4.2.5.</w:t>
      </w:r>
      <w:r>
        <w:rPr>
          <w:rFonts w:ascii="Arial" w:hAnsi="Arial" w:cs="Arial"/>
        </w:rPr>
        <w:t xml:space="preserve"> Praticar atos ilícitos com vistas a frustrar os objetivos da licitação;</w:t>
      </w:r>
      <w:r/>
    </w:p>
    <w:p w14:paraId="734A6186" w14:textId="77777777">
      <w:pPr>
        <w:pBdr/>
        <w:spacing/>
        <w:ind/>
        <w:jc w:val="both"/>
        <w:rPr>
          <w:rFonts w:ascii="Arial" w:hAnsi="Arial" w:cs="Arial"/>
        </w:rPr>
      </w:pPr>
      <w:r>
        <w:rPr>
          <w:rFonts w:ascii="Arial" w:hAnsi="Arial" w:cs="Arial"/>
        </w:rPr>
      </w:r>
      <w:r>
        <w:rPr>
          <w:rFonts w:ascii="Arial" w:hAnsi="Arial" w:cs="Arial"/>
        </w:rPr>
      </w:r>
    </w:p>
    <w:p w14:paraId="078C5376" w14:textId="77777777">
      <w:pPr>
        <w:pBdr/>
        <w:spacing/>
        <w:ind/>
        <w:jc w:val="both"/>
        <w:rPr/>
      </w:pPr>
      <w:r>
        <w:rPr>
          <w:rFonts w:ascii="Arial" w:hAnsi="Arial" w:cs="Arial"/>
          <w:b/>
        </w:rPr>
        <w:t xml:space="preserve">16.2.4.2.6.</w:t>
      </w:r>
      <w:r>
        <w:rPr>
          <w:rFonts w:ascii="Arial" w:hAnsi="Arial" w:cs="Arial"/>
        </w:rPr>
        <w:t xml:space="preserve"> Praticar ato lesivo previsto no art. 5º da Lei nº 12.846/2013.</w:t>
      </w:r>
      <w:r/>
    </w:p>
    <w:p w14:paraId="2D6A7A0F" w14:textId="77777777">
      <w:pPr>
        <w:pBdr/>
        <w:spacing/>
        <w:ind/>
        <w:jc w:val="both"/>
        <w:rPr/>
      </w:pPr>
      <w:r>
        <w:rPr>
          <w:rFonts w:ascii="Arial" w:hAnsi="Arial" w:cs="Arial"/>
          <w:b/>
        </w:rPr>
        <w:t xml:space="preserve">16.3.</w:t>
      </w:r>
      <w:r>
        <w:rPr>
          <w:rFonts w:ascii="Arial" w:hAnsi="Arial" w:cs="Arial"/>
        </w:rPr>
        <w:t xml:space="preserve"> Todas as sanções previstas neste Contrato poderão ser aplicadas cumulativamente com a multa (art. 156, §7º, da Lei nº 14.133, de 2021).</w:t>
      </w:r>
      <w:r/>
    </w:p>
    <w:p w14:paraId="68D96105" w14:textId="77777777">
      <w:pPr>
        <w:pBdr/>
        <w:spacing/>
        <w:ind/>
        <w:jc w:val="both"/>
        <w:rPr>
          <w:rFonts w:ascii="Arial" w:hAnsi="Arial" w:cs="Arial"/>
        </w:rPr>
      </w:pPr>
      <w:r>
        <w:rPr>
          <w:rFonts w:ascii="Arial" w:hAnsi="Arial" w:cs="Arial"/>
        </w:rPr>
      </w:r>
      <w:r>
        <w:rPr>
          <w:rFonts w:ascii="Arial" w:hAnsi="Arial" w:cs="Arial"/>
        </w:rPr>
      </w:r>
    </w:p>
    <w:p w14:paraId="766BF945" w14:textId="77777777">
      <w:pPr>
        <w:pBdr/>
        <w:spacing/>
        <w:ind/>
        <w:jc w:val="both"/>
        <w:rPr/>
      </w:pPr>
      <w:r>
        <w:rPr>
          <w:rFonts w:ascii="Arial" w:hAnsi="Arial" w:cs="Arial"/>
          <w:b/>
        </w:rPr>
        <w:t xml:space="preserve">16.4.</w:t>
      </w:r>
      <w:r>
        <w:rPr>
          <w:rFonts w:ascii="Arial" w:hAnsi="Arial" w:cs="Arial"/>
        </w:rPr>
        <w:t xml:space="preserve"> A aplicação das sanções previstas neste Contrato não exclui, em hipótese alguma, a obrigação de reparação integral do dano causado ao contratante (art. 156, §9º, da Lei nº 14.133, de 2021).</w:t>
      </w:r>
      <w:r/>
    </w:p>
    <w:p w14:paraId="2746C0F5" w14:textId="77777777">
      <w:pPr>
        <w:pBdr/>
        <w:spacing/>
        <w:ind/>
        <w:jc w:val="both"/>
        <w:rPr>
          <w:rFonts w:ascii="Arial" w:hAnsi="Arial" w:cs="Arial"/>
        </w:rPr>
      </w:pPr>
      <w:r>
        <w:rPr>
          <w:rFonts w:ascii="Arial" w:hAnsi="Arial" w:cs="Arial"/>
        </w:rPr>
      </w:r>
      <w:r>
        <w:rPr>
          <w:rFonts w:ascii="Arial" w:hAnsi="Arial" w:cs="Arial"/>
        </w:rPr>
      </w:r>
    </w:p>
    <w:p w14:paraId="60653844" w14:textId="77777777">
      <w:pPr>
        <w:pBdr/>
        <w:spacing/>
        <w:ind/>
        <w:jc w:val="both"/>
        <w:rPr/>
      </w:pPr>
      <w:r>
        <w:rPr>
          <w:rFonts w:ascii="Arial" w:hAnsi="Arial" w:cs="Arial"/>
          <w:b/>
        </w:rPr>
        <w:t xml:space="preserve">16.5.</w:t>
      </w:r>
      <w:r>
        <w:rPr>
          <w:rFonts w:ascii="Arial" w:hAnsi="Arial" w:cs="Arial"/>
        </w:rPr>
        <w:t xml:space="preserve"> A aplicação de qualquer das penalidades previstas realizar-se-á em processo administrativo que assegurará o contraditório e a ampla defesa, observando-se o procedimento previsto na Lei nº 14.133/2021 e no Decreto Municipal nº 11.685/2023.</w:t>
      </w:r>
      <w:r/>
    </w:p>
    <w:p w14:paraId="262C6A90" w14:textId="77777777">
      <w:pPr>
        <w:pBdr/>
        <w:spacing/>
        <w:ind/>
        <w:jc w:val="both"/>
        <w:rPr/>
      </w:pPr>
      <w:r>
        <w:rPr>
          <w:rFonts w:ascii="Arial" w:hAnsi="Arial" w:eastAsia="Arial" w:cs="Arial"/>
        </w:rPr>
        <w:t xml:space="preserve"> </w:t>
      </w:r>
      <w:r/>
    </w:p>
    <w:p w14:paraId="1100D255" w14:textId="77777777">
      <w:pPr>
        <w:pBdr/>
        <w:spacing/>
        <w:ind/>
        <w:jc w:val="both"/>
        <w:rPr/>
      </w:pPr>
      <w:r>
        <w:rPr>
          <w:rFonts w:ascii="Arial" w:hAnsi="Arial" w:cs="Arial"/>
          <w:b/>
        </w:rPr>
        <w:t xml:space="preserve">16.6.</w:t>
      </w:r>
      <w:r>
        <w:rPr>
          <w:rFonts w:ascii="Arial" w:hAnsi="Arial" w:cs="Arial"/>
        </w:rPr>
        <w:t xml:space="preserve"> A autoridade competente, na aplicação das sanções, levará em consideração:</w:t>
      </w:r>
      <w:r/>
    </w:p>
    <w:p w14:paraId="6791CD4F" w14:textId="77777777">
      <w:pPr>
        <w:pBdr/>
        <w:spacing/>
        <w:ind/>
        <w:jc w:val="both"/>
        <w:rPr>
          <w:rFonts w:ascii="Arial" w:hAnsi="Arial" w:cs="Arial"/>
        </w:rPr>
      </w:pPr>
      <w:r>
        <w:rPr>
          <w:rFonts w:ascii="Arial" w:hAnsi="Arial" w:cs="Arial"/>
        </w:rPr>
      </w:r>
      <w:r>
        <w:rPr>
          <w:rFonts w:ascii="Arial" w:hAnsi="Arial" w:cs="Arial"/>
        </w:rPr>
      </w:r>
    </w:p>
    <w:p w14:paraId="5F7E4602" w14:textId="77777777">
      <w:pPr>
        <w:pBdr/>
        <w:spacing/>
        <w:ind/>
        <w:jc w:val="both"/>
        <w:rPr/>
      </w:pPr>
      <w:r>
        <w:rPr>
          <w:rFonts w:ascii="Arial" w:hAnsi="Arial" w:cs="Arial"/>
          <w:b/>
        </w:rPr>
        <w:t xml:space="preserve">16.6.1.</w:t>
      </w:r>
      <w:r>
        <w:rPr>
          <w:rFonts w:ascii="Arial" w:hAnsi="Arial" w:cs="Arial"/>
        </w:rPr>
        <w:t xml:space="preserve"> a natureza e a gravidade da infração cometida; </w:t>
      </w:r>
      <w:r/>
    </w:p>
    <w:p w14:paraId="0A50B3AA" w14:textId="77777777">
      <w:pPr>
        <w:pBdr/>
        <w:spacing/>
        <w:ind/>
        <w:jc w:val="both"/>
        <w:rPr>
          <w:rFonts w:ascii="Arial" w:hAnsi="Arial" w:cs="Arial"/>
        </w:rPr>
      </w:pPr>
      <w:r>
        <w:rPr>
          <w:rFonts w:ascii="Arial" w:hAnsi="Arial" w:cs="Arial"/>
        </w:rPr>
      </w:r>
      <w:r>
        <w:rPr>
          <w:rFonts w:ascii="Arial" w:hAnsi="Arial" w:cs="Arial"/>
        </w:rPr>
      </w:r>
    </w:p>
    <w:p w14:paraId="55093AAD" w14:textId="77777777">
      <w:pPr>
        <w:pBdr/>
        <w:spacing/>
        <w:ind/>
        <w:jc w:val="both"/>
        <w:rPr/>
      </w:pPr>
      <w:r>
        <w:rPr>
          <w:rFonts w:ascii="Arial" w:hAnsi="Arial" w:cs="Arial"/>
          <w:b/>
        </w:rPr>
        <w:t xml:space="preserve">16.6.2.</w:t>
      </w:r>
      <w:r>
        <w:rPr>
          <w:rFonts w:ascii="Arial" w:hAnsi="Arial" w:cs="Arial"/>
        </w:rPr>
        <w:t xml:space="preserve"> as peculiaridades do caso concreto;</w:t>
      </w:r>
      <w:r/>
    </w:p>
    <w:p w14:paraId="5E1CE858" w14:textId="77777777">
      <w:pPr>
        <w:pBdr/>
        <w:spacing/>
        <w:ind/>
        <w:jc w:val="both"/>
        <w:rPr>
          <w:rFonts w:ascii="Arial" w:hAnsi="Arial" w:cs="Arial"/>
        </w:rPr>
      </w:pPr>
      <w:r>
        <w:rPr>
          <w:rFonts w:ascii="Arial" w:hAnsi="Arial" w:cs="Arial"/>
        </w:rPr>
      </w:r>
      <w:r>
        <w:rPr>
          <w:rFonts w:ascii="Arial" w:hAnsi="Arial" w:cs="Arial"/>
        </w:rPr>
      </w:r>
    </w:p>
    <w:p w14:paraId="160A6E95" w14:textId="77777777">
      <w:pPr>
        <w:pBdr/>
        <w:spacing/>
        <w:ind/>
        <w:jc w:val="both"/>
        <w:rPr/>
      </w:pPr>
      <w:r>
        <w:rPr>
          <w:rFonts w:ascii="Arial" w:hAnsi="Arial" w:cs="Arial"/>
          <w:b/>
        </w:rPr>
        <w:t xml:space="preserve">16.6.3.</w:t>
      </w:r>
      <w:r>
        <w:rPr>
          <w:rFonts w:ascii="Arial" w:hAnsi="Arial" w:cs="Arial"/>
        </w:rPr>
        <w:t xml:space="preserve"> as circunstâncias agravantes ou atenuantes;</w:t>
      </w:r>
      <w:r/>
    </w:p>
    <w:p w14:paraId="29411236" w14:textId="77777777">
      <w:pPr>
        <w:pBdr/>
        <w:spacing/>
        <w:ind/>
        <w:jc w:val="both"/>
        <w:rPr>
          <w:rFonts w:ascii="Arial" w:hAnsi="Arial" w:cs="Arial"/>
          <w:b/>
        </w:rPr>
      </w:pPr>
      <w:r>
        <w:rPr>
          <w:rFonts w:ascii="Arial" w:hAnsi="Arial" w:cs="Arial"/>
          <w:b/>
        </w:rPr>
      </w:r>
      <w:r>
        <w:rPr>
          <w:rFonts w:ascii="Arial" w:hAnsi="Arial" w:cs="Arial"/>
          <w:b/>
        </w:rPr>
      </w:r>
    </w:p>
    <w:p w14:paraId="4064716B" w14:textId="77777777">
      <w:pPr>
        <w:pBdr/>
        <w:spacing/>
        <w:ind/>
        <w:jc w:val="both"/>
        <w:rPr/>
      </w:pPr>
      <w:r>
        <w:rPr>
          <w:rFonts w:ascii="Arial" w:hAnsi="Arial" w:cs="Arial"/>
          <w:b/>
        </w:rPr>
        <w:t xml:space="preserve">16.6.4.</w:t>
      </w:r>
      <w:r>
        <w:rPr>
          <w:rFonts w:ascii="Arial" w:hAnsi="Arial" w:cs="Arial"/>
        </w:rPr>
        <w:t xml:space="preserve"> os danos que dela provierem para o contratante;</w:t>
      </w:r>
      <w:r/>
    </w:p>
    <w:p w14:paraId="685FDA81" w14:textId="77777777">
      <w:pPr>
        <w:pBdr/>
        <w:spacing/>
        <w:ind/>
        <w:jc w:val="both"/>
        <w:rPr>
          <w:rFonts w:ascii="Arial" w:hAnsi="Arial" w:cs="Arial"/>
        </w:rPr>
      </w:pPr>
      <w:r>
        <w:rPr>
          <w:rFonts w:ascii="Arial" w:hAnsi="Arial" w:cs="Arial"/>
          <w:b/>
        </w:rPr>
        <w:t xml:space="preserve">16.6.5.</w:t>
      </w:r>
      <w:r>
        <w:rPr>
          <w:rFonts w:ascii="Arial" w:hAnsi="Arial" w:cs="Arial"/>
        </w:rPr>
        <w:t xml:space="preserve"> a implantação ou o aperfeiçoamento de programa de integridade, conforme normas e orientações dos órgãos de controle.</w:t>
      </w:r>
      <w:r>
        <w:rPr>
          <w:rFonts w:ascii="Arial" w:hAnsi="Arial" w:cs="Arial"/>
        </w:rPr>
      </w:r>
    </w:p>
    <w:p w14:paraId="404E6F63" w14:textId="77777777">
      <w:pPr>
        <w:pBdr/>
        <w:spacing/>
        <w:ind/>
        <w:jc w:val="both"/>
        <w:rPr/>
      </w:pPr>
      <w:r/>
      <w:r/>
    </w:p>
    <w:p w14:paraId="1C1411B8" w14:textId="77777777">
      <w:pPr>
        <w:pBdr/>
        <w:spacing/>
        <w:ind/>
        <w:jc w:val="both"/>
        <w:rPr/>
      </w:pPr>
      <w:r>
        <w:rPr>
          <w:rFonts w:ascii="Arial" w:hAnsi="Arial" w:cs="Arial"/>
          <w:b/>
        </w:rPr>
        <w:t xml:space="preserve">16.7.</w:t>
      </w:r>
      <w:r>
        <w:rPr>
          <w:rFonts w:ascii="Arial" w:hAnsi="Arial" w:cs="Arial"/>
        </w:rPr>
        <w:t xml:space="preserve"> Os atos previstos como infrações administrativas na Lei nº 14.133, de 2021, ou em outras leis de licitações e contratos da Administração Pública </w:t>
      </w:r>
      <w:r>
        <w:rPr>
          <w:rFonts w:ascii="Arial" w:hAnsi="Arial" w:cs="Arial"/>
        </w:rPr>
        <w:t xml:space="preserve">que também sejam tipificados como atos lesivos na Lei nº 12.846, de 2013, serão apurados e julgados conjuntamente, nos mesmos autos, observados o rito procedimental e autoridade competente definidos na referida Lei e nos demais regulamentos complementares.</w:t>
      </w:r>
      <w:r/>
    </w:p>
    <w:p w14:paraId="48F870C6" w14:textId="77777777">
      <w:pPr>
        <w:pBdr/>
        <w:spacing/>
        <w:ind/>
        <w:jc w:val="both"/>
        <w:rPr>
          <w:rFonts w:ascii="Arial" w:hAnsi="Arial" w:cs="Arial"/>
        </w:rPr>
      </w:pPr>
      <w:r>
        <w:rPr>
          <w:rFonts w:ascii="Arial" w:hAnsi="Arial" w:cs="Arial"/>
        </w:rPr>
      </w:r>
      <w:r>
        <w:rPr>
          <w:rFonts w:ascii="Arial" w:hAnsi="Arial" w:cs="Arial"/>
        </w:rPr>
      </w:r>
    </w:p>
    <w:p w14:paraId="7E0B26DB" w14:textId="77777777">
      <w:pPr>
        <w:pBdr/>
        <w:spacing/>
        <w:ind/>
        <w:jc w:val="both"/>
        <w:rPr/>
      </w:pPr>
      <w:r>
        <w:rPr>
          <w:rFonts w:ascii="Arial" w:hAnsi="Arial" w:cs="Arial"/>
          <w:b/>
        </w:rPr>
        <w:t xml:space="preserve">16.8.</w:t>
      </w:r>
      <w:r>
        <w:rPr>
          <w:rFonts w:ascii="Arial" w:hAnsi="Arial" w:cs="Arial"/>
        </w:rPr>
        <w:t xml:space="preserve"> A personalidade jurídica do Contratado poderá ser desconsiderada sempre que utilizada com abuso do direito para facilitar, encobrir ou dissimular a prática dos atos ilícitos previstos neste Contrato ou para provocar confusão patrimonial, e, nesse caso, to</w:t>
      </w:r>
      <w:r>
        <w:rPr>
          <w:rFonts w:ascii="Arial" w:hAnsi="Arial" w:cs="Arial"/>
        </w:rPr>
        <w:t xml:space="preserve">dos os efeitos das sanções aplicadas à pessoa jurídica serão estendidos aos seus administradores e sócios com poderes de administração, à pessoa jurídica sucessora ou à empresa do mesmo ramo com relação de coligação ou controle, de fato ou de direito, com </w:t>
      </w:r>
      <w:r>
        <w:rPr>
          <w:rFonts w:ascii="Arial" w:hAnsi="Arial" w:cs="Arial"/>
        </w:rPr>
        <w:t xml:space="preserve">o Contratado, observados, em todos os casos, o contraditório, a ampla defesa e a obrigatoriedade de análise jurídica prévia.</w:t>
      </w:r>
      <w:r/>
    </w:p>
    <w:p w14:paraId="0CDE91FA" w14:textId="77777777">
      <w:pPr>
        <w:pBdr/>
        <w:spacing/>
        <w:ind/>
        <w:jc w:val="both"/>
        <w:rPr>
          <w:rFonts w:ascii="Arial" w:hAnsi="Arial" w:cs="Arial"/>
        </w:rPr>
      </w:pPr>
      <w:r>
        <w:rPr>
          <w:rFonts w:ascii="Arial" w:hAnsi="Arial" w:cs="Arial"/>
        </w:rPr>
      </w:r>
      <w:r>
        <w:rPr>
          <w:rFonts w:ascii="Arial" w:hAnsi="Arial" w:cs="Arial"/>
        </w:rPr>
      </w:r>
    </w:p>
    <w:p w14:paraId="5192E562" w14:textId="77777777">
      <w:pPr>
        <w:pBdr/>
        <w:spacing/>
        <w:ind/>
        <w:jc w:val="both"/>
        <w:rPr/>
      </w:pPr>
      <w:r>
        <w:rPr>
          <w:rFonts w:ascii="Arial" w:hAnsi="Arial" w:cs="Arial"/>
          <w:b/>
        </w:rPr>
        <w:t xml:space="preserve">16.9.</w:t>
      </w:r>
      <w:r>
        <w:rPr>
          <w:rFonts w:ascii="Arial" w:hAnsi="Arial" w:cs="Arial"/>
        </w:rPr>
        <w:t xml:space="preserve"> As sanções de impedimento de licitar e contratar e declaração de inidoneidade para licitar ou contratar são passíveis de reabilitação na forma do art. 163 da Lei nº 14.133/2021.</w:t>
      </w:r>
      <w:r/>
    </w:p>
    <w:p w14:paraId="0B76B7F9" w14:textId="77777777">
      <w:pPr>
        <w:pBdr/>
        <w:spacing/>
        <w:ind/>
        <w:jc w:val="both"/>
        <w:rPr/>
      </w:pPr>
      <w:r>
        <w:rPr>
          <w:rFonts w:ascii="Arial" w:hAnsi="Arial" w:cs="Arial"/>
          <w:b/>
        </w:rPr>
        <w:t xml:space="preserve">CLÁUSULA DÉCIMA SÉTIMA – CLÁUSULA ANTICORRUPÇÃO:</w:t>
      </w:r>
      <w:r/>
    </w:p>
    <w:p w14:paraId="647C76FD" w14:textId="77777777">
      <w:pPr>
        <w:pBdr/>
        <w:spacing/>
        <w:ind/>
        <w:jc w:val="both"/>
        <w:rPr>
          <w:rFonts w:ascii="Arial" w:hAnsi="Arial" w:cs="Arial"/>
          <w:b/>
        </w:rPr>
      </w:pPr>
      <w:r>
        <w:rPr>
          <w:rFonts w:ascii="Arial" w:hAnsi="Arial" w:cs="Arial"/>
          <w:b/>
        </w:rPr>
      </w:r>
      <w:r>
        <w:rPr>
          <w:rFonts w:ascii="Arial" w:hAnsi="Arial" w:cs="Arial"/>
          <w:b/>
        </w:rPr>
      </w:r>
    </w:p>
    <w:p w14:paraId="15EDB635" w14:textId="77777777">
      <w:pPr>
        <w:pBdr/>
        <w:spacing/>
        <w:ind/>
        <w:jc w:val="both"/>
        <w:rPr/>
      </w:pPr>
      <w:r>
        <w:rPr>
          <w:rFonts w:ascii="Arial" w:hAnsi="Arial" w:cs="Arial"/>
          <w:b/>
        </w:rPr>
        <w:t xml:space="preserve">17.1.</w:t>
      </w:r>
      <w:r>
        <w:rPr>
          <w:rFonts w:ascii="Arial" w:hAnsi="Arial" w:cs="Arial"/>
        </w:rPr>
        <w:t xml:space="preserve"> Para a execução deste contrato, nenhuma das partes poderá oferecer, dar ou se comprometer a dar a quem quer que seja, ou aceitar ou se comprometer a aceitar de quem quer que seja, tanto por conta própria quanto por intermédio de outrem, qualquer pagam</w:t>
      </w:r>
      <w:r>
        <w:rPr>
          <w:rFonts w:ascii="Arial" w:hAnsi="Arial" w:cs="Arial"/>
        </w:rPr>
        <w:t xml:space="preserve">ento, doação, compensação, vantagens financeiras ou benefícios de qualquer espécie, seja de forma direta ou indireta quanto ao objeto deste contrato, ou de outra forma a ele não relacionada, o que deve ser observado, ainda, pelos prepostos e colaboradores.</w:t>
      </w:r>
      <w:r/>
    </w:p>
    <w:p w14:paraId="5B73D11D" w14:textId="77777777">
      <w:pPr>
        <w:pBdr/>
        <w:spacing/>
        <w:ind/>
        <w:jc w:val="both"/>
        <w:rPr>
          <w:rFonts w:ascii="Arial" w:hAnsi="Arial" w:cs="Arial"/>
        </w:rPr>
      </w:pPr>
      <w:r>
        <w:rPr>
          <w:rFonts w:ascii="Arial" w:hAnsi="Arial" w:cs="Arial"/>
        </w:rPr>
      </w:r>
      <w:r>
        <w:rPr>
          <w:rFonts w:ascii="Arial" w:hAnsi="Arial" w:cs="Arial"/>
        </w:rPr>
      </w:r>
    </w:p>
    <w:p w14:paraId="052A38C7" w14:textId="77777777">
      <w:pPr>
        <w:pBdr/>
        <w:tabs>
          <w:tab w:val="left" w:leader="none" w:pos="426"/>
        </w:tabs>
        <w:spacing/>
        <w:ind/>
        <w:jc w:val="both"/>
        <w:rPr/>
      </w:pPr>
      <w:r>
        <w:rPr>
          <w:rFonts w:ascii="Arial" w:hAnsi="Arial" w:cs="Arial"/>
          <w:b/>
        </w:rPr>
        <w:t xml:space="preserve">17.2.</w:t>
      </w:r>
      <w:r>
        <w:rPr>
          <w:rFonts w:ascii="Arial" w:hAnsi="Arial" w:cs="Arial"/>
        </w:rPr>
        <w:t xml:space="preserve"> Consta em anexo do contrato o Termo Anticorrupção (Anexo), expresso pelo contratado, declarando formalmente que a condução de seus negócios segue estritamente a legislação aplicável, a moral e a ética.</w:t>
      </w:r>
      <w:r/>
    </w:p>
    <w:p w14:paraId="3FD0EBB5" w14:textId="77777777">
      <w:pPr>
        <w:pBdr/>
        <w:spacing/>
        <w:ind/>
        <w:jc w:val="both"/>
        <w:rPr>
          <w:rFonts w:ascii="Arial" w:hAnsi="Arial" w:cs="Arial"/>
        </w:rPr>
      </w:pPr>
      <w:r>
        <w:rPr>
          <w:rFonts w:ascii="Arial" w:hAnsi="Arial" w:cs="Arial"/>
        </w:rPr>
      </w:r>
      <w:r>
        <w:rPr>
          <w:rFonts w:ascii="Arial" w:hAnsi="Arial" w:cs="Arial"/>
        </w:rPr>
      </w:r>
    </w:p>
    <w:p w14:paraId="4CEF482F" w14:textId="77777777">
      <w:pPr>
        <w:pBdr/>
        <w:spacing/>
        <w:ind/>
        <w:jc w:val="both"/>
        <w:rPr/>
      </w:pPr>
      <w:r>
        <w:rPr>
          <w:rFonts w:ascii="Arial" w:hAnsi="Arial" w:cs="Arial"/>
          <w:b/>
        </w:rPr>
        <w:t xml:space="preserve">CLÁUSULA DÉCIMA OITAVA – DA NULIDADE DO CONTRATO:</w:t>
      </w:r>
      <w:r/>
    </w:p>
    <w:p w14:paraId="12B10D37" w14:textId="77777777">
      <w:pPr>
        <w:pBdr/>
        <w:spacing/>
        <w:ind/>
        <w:jc w:val="both"/>
        <w:rPr>
          <w:rFonts w:ascii="Arial" w:hAnsi="Arial" w:cs="Arial"/>
          <w:b/>
        </w:rPr>
      </w:pPr>
      <w:r>
        <w:rPr>
          <w:rFonts w:ascii="Arial" w:hAnsi="Arial" w:cs="Arial"/>
          <w:b/>
        </w:rPr>
      </w:r>
      <w:r>
        <w:rPr>
          <w:rFonts w:ascii="Arial" w:hAnsi="Arial" w:cs="Arial"/>
          <w:b/>
        </w:rPr>
      </w:r>
    </w:p>
    <w:p w14:paraId="2D54BE2A" w14:textId="77777777">
      <w:pPr>
        <w:pBdr/>
        <w:spacing/>
        <w:ind/>
        <w:jc w:val="both"/>
        <w:rPr/>
      </w:pPr>
      <w:r>
        <w:rPr>
          <w:rFonts w:ascii="Arial" w:hAnsi="Arial" w:cs="Arial"/>
          <w:b/>
        </w:rPr>
        <w:t xml:space="preserve">18.1.</w:t>
      </w:r>
      <w:r>
        <w:rPr>
          <w:rFonts w:ascii="Arial" w:hAnsi="Arial" w:cs="Arial"/>
        </w:rPr>
        <w:t xml:space="preserve"> Constatada irregularidade no procedimento licitatório ou na execução contratual, caso não seja poss</w:t>
      </w:r>
      <w:r>
        <w:rPr>
          <w:rFonts w:ascii="Arial" w:hAnsi="Arial" w:cs="Arial"/>
        </w:rPr>
        <w:t xml:space="preserve">ível o saneamento, a decisão sobre a suspensão da execução ou sobre a declaração de nulidade do contrato somente será adotada quando revelar medida de interesse público, com avaliação, entre outros, dos aspectos descritos no art. 147 da Lei nº 14.133/2021.</w:t>
      </w:r>
      <w:r/>
    </w:p>
    <w:p w14:paraId="27101A2A" w14:textId="77777777">
      <w:pPr>
        <w:pBdr/>
        <w:spacing/>
        <w:ind/>
        <w:jc w:val="both"/>
        <w:rPr>
          <w:rFonts w:ascii="Arial" w:hAnsi="Arial" w:cs="Arial"/>
        </w:rPr>
      </w:pPr>
      <w:r>
        <w:rPr>
          <w:rFonts w:ascii="Arial" w:hAnsi="Arial" w:cs="Arial"/>
        </w:rPr>
      </w:r>
      <w:r>
        <w:rPr>
          <w:rFonts w:ascii="Arial" w:hAnsi="Arial" w:cs="Arial"/>
        </w:rPr>
      </w:r>
    </w:p>
    <w:p w14:paraId="2FC88CFC" w14:textId="77777777">
      <w:pPr>
        <w:pBdr/>
        <w:spacing/>
        <w:ind/>
        <w:jc w:val="both"/>
        <w:rPr/>
      </w:pPr>
      <w:r>
        <w:rPr>
          <w:rFonts w:ascii="Arial" w:hAnsi="Arial" w:cs="Arial"/>
          <w:b/>
        </w:rPr>
        <w:t xml:space="preserve">18.2.</w:t>
      </w:r>
      <w:r>
        <w:rPr>
          <w:rFonts w:ascii="Arial" w:hAnsi="Arial" w:cs="Arial"/>
        </w:rPr>
        <w:t xml:space="preserve"> A nulidade não exonera o contratante do dever de indenizar o contratado pelo que houver executado até a data em </w:t>
      </w:r>
      <w:r>
        <w:rPr>
          <w:rFonts w:ascii="Arial" w:hAnsi="Arial" w:cs="Arial"/>
        </w:rPr>
        <w:t xml:space="preserve">que for declarada ou tornada eficaz, bem como por outros prejuízos regularmente comprovados, desde que não lhe seja imputável, e será promovida a responsabilização de quem lhe tenha dado causa, nos termos do que estabelece o art. 149 da Lei nº 14.133/2021.</w:t>
      </w:r>
      <w:r/>
    </w:p>
    <w:p w14:paraId="3BD55D37" w14:textId="77777777">
      <w:pPr>
        <w:pBdr/>
        <w:spacing/>
        <w:ind w:right="-5"/>
        <w:jc w:val="both"/>
        <w:rPr/>
      </w:pPr>
      <w:r>
        <w:rPr>
          <w:rFonts w:ascii="Arial" w:hAnsi="Arial" w:cs="Arial"/>
          <w:b/>
        </w:rPr>
        <w:t xml:space="preserve">CLÁUSULA DÉCIMA NONA – GARANTIA DE EXECUÇÃO</w:t>
      </w:r>
      <w:r>
        <w:rPr>
          <w:rFonts w:ascii="Arial" w:hAnsi="Arial" w:cs="Arial"/>
        </w:rPr>
        <w:t xml:space="preserve"> </w:t>
      </w:r>
      <w:r/>
    </w:p>
    <w:p w14:paraId="0365CD44" w14:textId="77777777">
      <w:pPr>
        <w:pBdr/>
        <w:spacing/>
        <w:ind w:right="-5"/>
        <w:jc w:val="both"/>
        <w:rPr>
          <w:rFonts w:ascii="Arial" w:hAnsi="Arial" w:cs="Arial"/>
          <w:b/>
        </w:rPr>
      </w:pPr>
      <w:r>
        <w:rPr>
          <w:rFonts w:ascii="Arial" w:hAnsi="Arial" w:cs="Arial"/>
          <w:b/>
        </w:rPr>
      </w:r>
      <w:r>
        <w:rPr>
          <w:rFonts w:ascii="Arial" w:hAnsi="Arial" w:cs="Arial"/>
          <w:b/>
        </w:rPr>
      </w:r>
    </w:p>
    <w:p w14:paraId="73806BB6" w14:textId="77777777">
      <w:pPr>
        <w:pBdr/>
        <w:spacing/>
        <w:ind w:right="-5"/>
        <w:jc w:val="both"/>
        <w:rPr/>
      </w:pPr>
      <w:r>
        <w:rPr>
          <w:rFonts w:ascii="Arial" w:hAnsi="Arial" w:cs="Arial"/>
          <w:b/>
        </w:rPr>
        <w:t xml:space="preserve">19.1.</w:t>
      </w:r>
      <w:r>
        <w:rPr>
          <w:rFonts w:ascii="Arial" w:hAnsi="Arial" w:cs="Arial"/>
        </w:rPr>
        <w:t xml:space="preserve"> Não haverá exigência de garantia contratual da execução, considerando, conforme análise de riscos, o baixo risco para a contratação.</w:t>
      </w:r>
      <w:r/>
    </w:p>
    <w:p w14:paraId="20B1264C" w14:textId="77777777">
      <w:pPr>
        <w:pBdr/>
        <w:spacing/>
        <w:ind w:right="-5"/>
        <w:jc w:val="both"/>
        <w:rPr>
          <w:rFonts w:ascii="Arial" w:hAnsi="Arial" w:cs="Arial"/>
          <w:b/>
        </w:rPr>
      </w:pPr>
      <w:r>
        <w:rPr>
          <w:rFonts w:ascii="Arial" w:hAnsi="Arial" w:cs="Arial"/>
          <w:b/>
        </w:rPr>
      </w:r>
      <w:r>
        <w:rPr>
          <w:rFonts w:ascii="Arial" w:hAnsi="Arial" w:cs="Arial"/>
          <w:b/>
        </w:rPr>
      </w:r>
    </w:p>
    <w:p w14:paraId="4716EAC8" w14:textId="77777777">
      <w:pPr>
        <w:pBdr/>
        <w:spacing/>
        <w:ind w:right="-5"/>
        <w:jc w:val="both"/>
        <w:rPr/>
      </w:pPr>
      <w:r>
        <w:rPr>
          <w:rFonts w:ascii="Arial" w:hAnsi="Arial" w:cs="Arial"/>
          <w:b/>
        </w:rPr>
        <w:t xml:space="preserve">CLÁUSULA VIGÉSIMA – GARANTIA DO OBJETO</w:t>
      </w:r>
      <w:r/>
    </w:p>
    <w:p w14:paraId="5539C4D6" w14:textId="77777777">
      <w:pPr>
        <w:pBdr/>
        <w:spacing/>
        <w:ind w:right="-5"/>
        <w:jc w:val="both"/>
        <w:rPr>
          <w:rFonts w:ascii="Arial" w:hAnsi="Arial" w:cs="Arial"/>
          <w:b/>
          <w:highlight w:val="yellow"/>
        </w:rPr>
      </w:pPr>
      <w:r>
        <w:rPr>
          <w:rFonts w:ascii="Arial" w:hAnsi="Arial" w:cs="Arial"/>
          <w:b/>
          <w:highlight w:val="yellow"/>
        </w:rPr>
      </w:r>
      <w:r>
        <w:rPr>
          <w:rFonts w:ascii="Arial" w:hAnsi="Arial" w:cs="Arial"/>
          <w:b/>
          <w:highlight w:val="yellow"/>
        </w:rPr>
      </w:r>
    </w:p>
    <w:p w14:paraId="244118D7" w14:textId="77777777">
      <w:pPr>
        <w:pStyle w:val="1030"/>
        <w:pBdr/>
        <w:spacing w:line="360" w:lineRule="auto"/>
        <w:ind/>
        <w:jc w:val="both"/>
        <w:rPr>
          <w:sz w:val="24"/>
          <w:szCs w:val="24"/>
        </w:rPr>
      </w:pPr>
      <w:r>
        <w:rPr>
          <w:rFonts w:ascii="Arial" w:hAnsi="Arial" w:cs="Arial"/>
          <w:b/>
        </w:rPr>
        <w:t xml:space="preserve">20.1.</w:t>
      </w:r>
      <w:r>
        <w:rPr>
          <w:rFonts w:ascii="Arial" w:hAnsi="Arial" w:cs="Arial"/>
        </w:rPr>
        <w:t xml:space="preserve"> </w:t>
      </w:r>
      <w:r>
        <w:rPr>
          <w:sz w:val="24"/>
          <w:szCs w:val="24"/>
        </w:rPr>
        <w:t xml:space="preserve">A contratada será integralmente responsável pela qualidade, regularidade e conformidade dos serviços prestados, respondendo por eventuais falhas, omissões ou inadequações, nos termos dos arts. 117, 156 e 159 da Lei nº 14.133/2021.</w:t>
      </w:r>
      <w:r>
        <w:rPr>
          <w:sz w:val="24"/>
          <w:szCs w:val="24"/>
        </w:rPr>
      </w:r>
    </w:p>
    <w:p w14:paraId="7062B470" w14:textId="77777777">
      <w:pPr>
        <w:pStyle w:val="1030"/>
        <w:pBdr/>
        <w:spacing w:line="360" w:lineRule="auto"/>
        <w:ind/>
        <w:jc w:val="both"/>
        <w:rPr>
          <w:sz w:val="24"/>
          <w:szCs w:val="24"/>
        </w:rPr>
      </w:pPr>
      <w:r>
        <w:rPr>
          <w:b/>
          <w:bCs/>
          <w:sz w:val="24"/>
          <w:szCs w:val="24"/>
        </w:rPr>
        <w:t xml:space="preserve">20.2.</w:t>
      </w:r>
      <w:r>
        <w:rPr>
          <w:sz w:val="24"/>
          <w:szCs w:val="24"/>
        </w:rPr>
        <w:t xml:space="preserve"> Havendo descumprimento das obrigações contratuais, a Administração poderá exigir a imediata correção das falhas, sem ônus adicional, e aplicar as penalidades cabíveis previstas na legislação e no contrato.</w:t>
      </w:r>
      <w:r>
        <w:rPr>
          <w:sz w:val="24"/>
          <w:szCs w:val="24"/>
        </w:rPr>
      </w:r>
    </w:p>
    <w:p w14:paraId="471A0F56" w14:textId="77777777">
      <w:pPr>
        <w:pBdr/>
        <w:spacing/>
        <w:ind w:right="-5"/>
        <w:jc w:val="both"/>
        <w:rPr/>
      </w:pPr>
      <w:r>
        <w:rPr>
          <w:rFonts w:ascii="Arial" w:hAnsi="Arial" w:cs="Arial"/>
          <w:b/>
        </w:rPr>
        <w:t xml:space="preserve">CLÁUSULA VIGÉSIMA PRIMEIRA – DO DIREITO DE PETIÇÃO:</w:t>
      </w:r>
      <w:r/>
    </w:p>
    <w:p w14:paraId="4DCB3301" w14:textId="77777777">
      <w:pPr>
        <w:pBdr/>
        <w:spacing/>
        <w:ind w:right="-5"/>
        <w:jc w:val="both"/>
        <w:rPr/>
      </w:pPr>
      <w:r/>
      <w:r/>
    </w:p>
    <w:p w14:paraId="07708243" w14:textId="77777777">
      <w:pPr>
        <w:pBdr/>
        <w:spacing/>
        <w:ind w:right="-5"/>
        <w:jc w:val="both"/>
        <w:rPr/>
      </w:pPr>
      <w:r>
        <w:rPr>
          <w:rFonts w:ascii="Arial" w:hAnsi="Arial" w:cs="Arial"/>
          <w:b/>
        </w:rPr>
        <w:t xml:space="preserve">21.</w:t>
      </w:r>
      <w:r>
        <w:rPr>
          <w:rStyle w:val="960"/>
          <w:rFonts w:ascii="Arial" w:hAnsi="Arial" w:eastAsia="Calibri" w:cs="Arial"/>
          <w:b/>
        </w:rPr>
        <w:t xml:space="preserve">1</w:t>
      </w:r>
      <w:r>
        <w:rPr>
          <w:rStyle w:val="960"/>
          <w:rFonts w:ascii="Arial" w:hAnsi="Arial" w:eastAsia="Calibri" w:cs="Arial"/>
        </w:rPr>
        <w:t xml:space="preserve">. No tocante a recursos, representações e pedidos de reconsideração, deverá ser observado o disposto no art. 164 da Lei nº 14.133/2021.</w:t>
      </w:r>
      <w:r/>
    </w:p>
    <w:p w14:paraId="0241F01A" w14:textId="77777777">
      <w:pPr>
        <w:pBdr/>
        <w:spacing/>
        <w:ind/>
        <w:jc w:val="both"/>
        <w:rPr/>
      </w:pPr>
      <w:r/>
      <w:r/>
    </w:p>
    <w:p w14:paraId="36A4CBEB" w14:textId="77777777">
      <w:pPr>
        <w:pBdr/>
        <w:spacing/>
        <w:ind w:right="-5"/>
        <w:rPr/>
      </w:pPr>
      <w:r>
        <w:rPr>
          <w:rFonts w:ascii="Arial" w:hAnsi="Arial" w:cs="Arial"/>
          <w:b/>
        </w:rPr>
        <w:t xml:space="preserve">CLÁUSULA VIGÉSIMA SEGUNDA - DAS DISPOSIÇÕES GERAIS:</w:t>
      </w:r>
      <w:r/>
    </w:p>
    <w:p w14:paraId="6B2FD23C" w14:textId="77777777">
      <w:pPr>
        <w:pBdr/>
        <w:spacing/>
        <w:ind w:right="-5"/>
        <w:jc w:val="both"/>
        <w:rPr>
          <w:rFonts w:ascii="Arial" w:hAnsi="Arial" w:cs="Arial"/>
          <w:b/>
        </w:rPr>
      </w:pPr>
      <w:r>
        <w:rPr>
          <w:rFonts w:ascii="Arial" w:hAnsi="Arial" w:cs="Arial"/>
          <w:b/>
        </w:rPr>
      </w:r>
      <w:r>
        <w:rPr>
          <w:rFonts w:ascii="Arial" w:hAnsi="Arial" w:cs="Arial"/>
          <w:b/>
        </w:rPr>
      </w:r>
    </w:p>
    <w:p w14:paraId="24A12CCD" w14:textId="77777777">
      <w:pPr>
        <w:pBdr/>
        <w:spacing/>
        <w:ind w:right="-5"/>
        <w:jc w:val="both"/>
        <w:rPr/>
      </w:pPr>
      <w:r>
        <w:rPr>
          <w:rStyle w:val="960"/>
          <w:rFonts w:ascii="Arial" w:hAnsi="Arial" w:eastAsia="Calibri" w:cs="Arial"/>
          <w:b/>
        </w:rPr>
        <w:t xml:space="preserve">22.1. DOS FUNDAMENTOS LEGAIS E DA SUJEIÇÃO ÀS NORMAS LEGAIS E CONTRATUAIS: </w:t>
      </w:r>
      <w:r/>
    </w:p>
    <w:p w14:paraId="5640889E" w14:textId="77777777">
      <w:pPr>
        <w:pBdr/>
        <w:spacing/>
        <w:ind w:right="-5" w:left="708"/>
        <w:jc w:val="both"/>
        <w:rPr/>
      </w:pPr>
      <w:r/>
      <w:r/>
    </w:p>
    <w:p w14:paraId="04C5EE91" w14:textId="77777777">
      <w:pPr>
        <w:pBdr/>
        <w:spacing/>
        <w:ind w:right="-5"/>
        <w:jc w:val="both"/>
        <w:rPr/>
      </w:pPr>
      <w:r>
        <w:rPr>
          <w:rStyle w:val="960"/>
          <w:rFonts w:ascii="Arial" w:hAnsi="Arial" w:eastAsia="Calibri" w:cs="Arial"/>
          <w:b/>
        </w:rPr>
        <w:t xml:space="preserve">22.1.1.</w:t>
      </w:r>
      <w:r>
        <w:rPr>
          <w:rStyle w:val="960"/>
          <w:rFonts w:ascii="Arial" w:hAnsi="Arial" w:eastAsia="Calibri" w:cs="Arial"/>
        </w:rPr>
        <w:t xml:space="preserve"> A legislação aplicável a este Contrato é a constante do </w:t>
      </w:r>
      <w:r>
        <w:rPr>
          <w:rFonts w:ascii="Arial" w:hAnsi="Arial" w:cs="Arial"/>
        </w:rPr>
        <w:t xml:space="preserve">Decreto Municipal nº 11.685/2023 </w:t>
      </w:r>
      <w:r>
        <w:rPr>
          <w:rStyle w:val="960"/>
          <w:rFonts w:ascii="Arial" w:hAnsi="Arial" w:eastAsia="Calibri" w:cs="Arial"/>
        </w:rPr>
        <w:t xml:space="preserve">e a Lei nº 14.133/21 e demais disposições aplicáveis as Licitações e Contratos Administrativos.  </w:t>
      </w:r>
      <w:r/>
    </w:p>
    <w:p w14:paraId="385DE9FF" w14:textId="77777777">
      <w:pPr>
        <w:pBdr/>
        <w:spacing/>
        <w:ind w:right="-5"/>
        <w:jc w:val="both"/>
        <w:rPr/>
      </w:pPr>
      <w:r/>
      <w:r/>
    </w:p>
    <w:p w14:paraId="05E6B3C2" w14:textId="77777777">
      <w:pPr>
        <w:pBdr/>
        <w:spacing/>
        <w:ind w:right="-5"/>
        <w:jc w:val="both"/>
        <w:rPr/>
      </w:pPr>
      <w:r>
        <w:rPr>
          <w:rStyle w:val="960"/>
          <w:rFonts w:ascii="Arial" w:hAnsi="Arial" w:eastAsia="Arial" w:cs="Arial"/>
          <w:b/>
        </w:rPr>
        <w:t xml:space="preserve">   </w:t>
      </w:r>
      <w:r>
        <w:rPr>
          <w:rStyle w:val="960"/>
          <w:rFonts w:ascii="Arial" w:hAnsi="Arial" w:eastAsia="Calibri" w:cs="Arial"/>
          <w:b/>
        </w:rPr>
        <w:t xml:space="preserve">22.1.2.</w:t>
      </w:r>
      <w:r>
        <w:rPr>
          <w:rStyle w:val="960"/>
          <w:rFonts w:ascii="Arial" w:hAnsi="Arial" w:eastAsia="Calibri" w:cs="Arial"/>
        </w:rPr>
        <w:t xml:space="preserve"> Os casos omissos que se tornarem controvertidos em face das cláusulas do presente contrato serão   resolvidos segundo os princípios jurídicos aplicáveis, e entendimentos dos tribunais de contas.</w:t>
      </w:r>
      <w:r/>
    </w:p>
    <w:p w14:paraId="7E8ABDF7" w14:textId="77777777">
      <w:pPr>
        <w:pBdr/>
        <w:spacing/>
        <w:ind w:right="-5"/>
        <w:jc w:val="both"/>
        <w:rPr/>
      </w:pPr>
      <w:r/>
      <w:r/>
    </w:p>
    <w:p w14:paraId="2BA6982E" w14:textId="77777777">
      <w:pPr>
        <w:pBdr/>
        <w:spacing/>
        <w:ind w:right="-5"/>
        <w:jc w:val="both"/>
        <w:rPr/>
      </w:pPr>
      <w:r>
        <w:rPr>
          <w:rStyle w:val="960"/>
          <w:rFonts w:ascii="Arial" w:hAnsi="Arial" w:eastAsia="Calibri" w:cs="Arial"/>
          <w:b/>
        </w:rPr>
        <w:t xml:space="preserve">22.1.3.</w:t>
      </w:r>
      <w:r>
        <w:rPr>
          <w:rStyle w:val="960"/>
          <w:rFonts w:ascii="Arial" w:hAnsi="Arial" w:eastAsia="Calibri" w:cs="Arial"/>
        </w:rPr>
        <w:t xml:space="preserve"> Após a assinatura deste Contrato, toda comunicação entre o </w:t>
      </w:r>
      <w:r>
        <w:rPr>
          <w:rStyle w:val="960"/>
          <w:rFonts w:ascii="Arial" w:hAnsi="Arial" w:eastAsia="Calibri" w:cs="Arial"/>
          <w:b/>
        </w:rPr>
        <w:t xml:space="preserve">CONTRATANTE</w:t>
      </w:r>
      <w:r>
        <w:rPr>
          <w:rStyle w:val="960"/>
          <w:rFonts w:ascii="Arial" w:hAnsi="Arial" w:eastAsia="Calibri" w:cs="Arial"/>
        </w:rPr>
        <w:t xml:space="preserve"> e a </w:t>
      </w:r>
      <w:r>
        <w:rPr>
          <w:rStyle w:val="960"/>
          <w:rFonts w:ascii="Arial" w:hAnsi="Arial" w:eastAsia="Calibri" w:cs="Arial"/>
          <w:b/>
        </w:rPr>
        <w:t xml:space="preserve">CONTRATADA</w:t>
      </w:r>
      <w:r>
        <w:rPr>
          <w:rStyle w:val="960"/>
          <w:rFonts w:ascii="Arial" w:hAnsi="Arial" w:eastAsia="Calibri" w:cs="Arial"/>
        </w:rPr>
        <w:t xml:space="preserve"> será feita através de correspondência devidamente registrada. </w:t>
      </w:r>
      <w:r/>
    </w:p>
    <w:p w14:paraId="3128E278" w14:textId="77777777">
      <w:pPr>
        <w:pBdr/>
        <w:spacing/>
        <w:ind w:right="-5"/>
        <w:jc w:val="both"/>
        <w:rPr/>
      </w:pPr>
      <w:r/>
      <w:r/>
    </w:p>
    <w:p w14:paraId="0884F38F" w14:textId="77777777">
      <w:pPr>
        <w:pBdr/>
        <w:spacing/>
        <w:ind w:right="-5"/>
        <w:jc w:val="both"/>
        <w:rPr/>
      </w:pPr>
      <w:r>
        <w:rPr>
          <w:rStyle w:val="960"/>
          <w:rFonts w:ascii="Arial" w:hAnsi="Arial" w:eastAsia="Calibri" w:cs="Arial"/>
          <w:b/>
        </w:rPr>
        <w:t xml:space="preserve">22.1.4.</w:t>
      </w:r>
      <w:r>
        <w:rPr>
          <w:rStyle w:val="960"/>
          <w:rFonts w:ascii="Arial" w:hAnsi="Arial" w:eastAsia="Calibri" w:cs="Arial"/>
        </w:rPr>
        <w:t xml:space="preserve"> Qualquer alteração nas condições ora estipuladas neste Contrato deverá ser feita através de Termo Aditivo, assinado pelos representantes legais das partes. </w:t>
      </w:r>
      <w:r/>
    </w:p>
    <w:p w14:paraId="6F805FE1" w14:textId="77777777">
      <w:pPr>
        <w:pBdr/>
        <w:spacing/>
        <w:ind w:right="-5"/>
        <w:jc w:val="both"/>
        <w:rPr/>
      </w:pPr>
      <w:r>
        <w:rPr>
          <w:rFonts w:ascii="Arial" w:hAnsi="Arial" w:cs="Arial"/>
          <w:b/>
        </w:rPr>
        <w:t xml:space="preserve">CLÁUSULA VIGÉSIMA TERCEIRA – DA VINCULAÇÃO AO EDITAL:</w:t>
      </w:r>
      <w:r/>
    </w:p>
    <w:p w14:paraId="2AEB3E04" w14:textId="77777777">
      <w:pPr>
        <w:pBdr/>
        <w:spacing/>
        <w:ind w:right="-5"/>
        <w:jc w:val="both"/>
        <w:rPr>
          <w:rFonts w:ascii="Arial" w:hAnsi="Arial" w:cs="Arial"/>
          <w:b/>
          <w:u w:val="single"/>
        </w:rPr>
      </w:pPr>
      <w:r>
        <w:rPr>
          <w:rFonts w:ascii="Arial" w:hAnsi="Arial" w:cs="Arial"/>
          <w:b/>
          <w:u w:val="single"/>
        </w:rPr>
      </w:r>
      <w:r>
        <w:rPr>
          <w:rFonts w:ascii="Arial" w:hAnsi="Arial" w:cs="Arial"/>
          <w:b/>
          <w:u w:val="single"/>
        </w:rPr>
      </w:r>
    </w:p>
    <w:p w14:paraId="1DB6DBEC" w14:textId="77777777">
      <w:pPr>
        <w:pBdr/>
        <w:spacing/>
        <w:ind w:right="-5"/>
        <w:jc w:val="both"/>
        <w:rPr/>
      </w:pPr>
      <w:r>
        <w:rPr>
          <w:rFonts w:ascii="Arial" w:hAnsi="Arial" w:cs="Arial"/>
          <w:b/>
        </w:rPr>
        <w:t xml:space="preserve">23.1.</w:t>
      </w:r>
      <w:r>
        <w:rPr>
          <w:rFonts w:ascii="Arial" w:hAnsi="Arial" w:cs="Arial"/>
          <w:b/>
          <w:u w:val="single"/>
        </w:rPr>
        <w:t xml:space="preserve"> </w:t>
      </w:r>
      <w:r>
        <w:rPr>
          <w:rFonts w:ascii="Arial" w:hAnsi="Arial" w:cs="Arial"/>
        </w:rPr>
        <w:t xml:space="preserve">O presente </w:t>
      </w:r>
      <w:r>
        <w:rPr>
          <w:rFonts w:ascii="Arial" w:hAnsi="Arial" w:cs="Arial"/>
          <w:b/>
        </w:rPr>
        <w:t xml:space="preserve">CONTRATO</w:t>
      </w:r>
      <w:r>
        <w:rPr>
          <w:rFonts w:ascii="Arial" w:hAnsi="Arial" w:cs="Arial"/>
        </w:rPr>
        <w:t xml:space="preserve"> fica vinculado aos termos do </w:t>
      </w:r>
      <w:r>
        <w:rPr>
          <w:rFonts w:ascii="Arial" w:hAnsi="Arial" w:cs="Arial"/>
          <w:b/>
        </w:rPr>
        <w:t xml:space="preserve">Edital de Pregão, Termo de Referência e todos os anexos que os acompanham </w:t>
      </w:r>
      <w:r>
        <w:rPr>
          <w:rFonts w:ascii="Arial" w:hAnsi="Arial" w:cs="Arial"/>
        </w:rPr>
        <w:t xml:space="preserve">e à proposta da </w:t>
      </w:r>
      <w:r>
        <w:rPr>
          <w:rFonts w:ascii="Arial" w:hAnsi="Arial" w:cs="Arial"/>
          <w:bCs/>
        </w:rPr>
        <w:t xml:space="preserve">CONTRATADA.</w:t>
      </w:r>
      <w:r/>
    </w:p>
    <w:p w14:paraId="0B1FB69E" w14:textId="77777777">
      <w:pPr>
        <w:pBdr/>
        <w:spacing/>
        <w:ind w:right="-5"/>
        <w:jc w:val="both"/>
        <w:rPr>
          <w:rFonts w:ascii="Arial" w:hAnsi="Arial" w:cs="Arial"/>
          <w:bCs/>
          <w:u w:val="single"/>
        </w:rPr>
      </w:pPr>
      <w:r>
        <w:rPr>
          <w:rFonts w:ascii="Arial" w:hAnsi="Arial" w:cs="Arial"/>
          <w:bCs/>
          <w:u w:val="single"/>
        </w:rPr>
      </w:r>
      <w:r>
        <w:rPr>
          <w:rFonts w:ascii="Arial" w:hAnsi="Arial" w:cs="Arial"/>
          <w:bCs/>
          <w:u w:val="single"/>
        </w:rPr>
      </w:r>
    </w:p>
    <w:p w14:paraId="5AAD829F" w14:textId="77777777">
      <w:pPr>
        <w:pBdr/>
        <w:spacing/>
        <w:ind w:right="-5"/>
        <w:jc w:val="both"/>
        <w:rPr/>
      </w:pPr>
      <w:r>
        <w:rPr>
          <w:rFonts w:ascii="Arial" w:hAnsi="Arial" w:cs="Arial"/>
          <w:b/>
        </w:rPr>
        <w:t xml:space="preserve">CLÁUSULA VIGÉSIMA QUARTA – CASOS OMISSOS</w:t>
      </w:r>
      <w:r/>
    </w:p>
    <w:p w14:paraId="4D78E294" w14:textId="77777777">
      <w:pPr>
        <w:pBdr/>
        <w:spacing/>
        <w:ind w:right="-5"/>
        <w:jc w:val="both"/>
        <w:rPr>
          <w:rFonts w:ascii="Arial" w:hAnsi="Arial" w:cs="Arial"/>
          <w:b/>
        </w:rPr>
      </w:pPr>
      <w:r>
        <w:rPr>
          <w:rFonts w:ascii="Arial" w:hAnsi="Arial" w:cs="Arial"/>
          <w:b/>
        </w:rPr>
      </w:r>
      <w:r>
        <w:rPr>
          <w:rFonts w:ascii="Arial" w:hAnsi="Arial" w:cs="Arial"/>
          <w:b/>
        </w:rPr>
      </w:r>
    </w:p>
    <w:p w14:paraId="31993948" w14:textId="77777777">
      <w:pPr>
        <w:pBdr/>
        <w:spacing/>
        <w:ind w:right="-5"/>
        <w:jc w:val="both"/>
        <w:rPr/>
      </w:pPr>
      <w:r>
        <w:rPr>
          <w:rFonts w:ascii="Arial" w:hAnsi="Arial" w:cs="Arial"/>
          <w:b/>
        </w:rPr>
        <w:t xml:space="preserve">24.1.</w:t>
      </w:r>
      <w:r>
        <w:rPr>
          <w:rFonts w:ascii="Arial" w:hAnsi="Arial" w:cs="Arial"/>
        </w:rPr>
        <w:t xml:space="preserve"> Os casos omissos serão decididos pelo contratante, segundo as disposições contidas na Lei nº 14.133/2021, no Dec</w:t>
      </w:r>
      <w:r>
        <w:rPr>
          <w:rFonts w:ascii="Arial" w:hAnsi="Arial" w:cs="Arial"/>
        </w:rPr>
        <w:t xml:space="preserve">reto 11.685/2023 e demais normas estaduais de licitações e contratos administrativos e, supletivamente as disposições contidas na Lei nº 8.078/1990 – Código de Defesa do Consumidor, normas e Princípios Gerais dos Contratos e disposições do direito privado.</w:t>
      </w:r>
      <w:r/>
    </w:p>
    <w:p w14:paraId="5E37601D" w14:textId="77777777">
      <w:pPr>
        <w:pBdr/>
        <w:spacing/>
        <w:ind w:right="-5"/>
        <w:jc w:val="both"/>
        <w:rPr>
          <w:rFonts w:ascii="Arial" w:hAnsi="Arial" w:cs="Arial"/>
          <w:b/>
          <w:u w:val="single"/>
        </w:rPr>
      </w:pPr>
      <w:r>
        <w:rPr>
          <w:rFonts w:ascii="Arial" w:hAnsi="Arial" w:cs="Arial"/>
          <w:b/>
          <w:u w:val="single"/>
        </w:rPr>
      </w:r>
      <w:r>
        <w:rPr>
          <w:rFonts w:ascii="Arial" w:hAnsi="Arial" w:cs="Arial"/>
          <w:b/>
          <w:u w:val="single"/>
        </w:rPr>
      </w:r>
    </w:p>
    <w:p w14:paraId="0D6F1407" w14:textId="77777777">
      <w:pPr>
        <w:pBdr/>
        <w:spacing/>
        <w:ind w:right="-5"/>
        <w:jc w:val="both"/>
        <w:rPr/>
      </w:pPr>
      <w:r>
        <w:rPr>
          <w:rFonts w:ascii="Arial" w:hAnsi="Arial" w:cs="Arial"/>
          <w:b/>
        </w:rPr>
        <w:t xml:space="preserve">CLÁUSULA VIGÉSIMA QUINTA - DO FORO:</w:t>
      </w:r>
      <w:r/>
    </w:p>
    <w:p w14:paraId="795FFBB3" w14:textId="77777777">
      <w:pPr>
        <w:pBdr/>
        <w:spacing/>
        <w:ind w:right="-5"/>
        <w:jc w:val="both"/>
        <w:rPr>
          <w:rFonts w:ascii="Arial" w:hAnsi="Arial" w:cs="Arial"/>
          <w:b/>
          <w:u w:val="single"/>
        </w:rPr>
      </w:pPr>
      <w:r>
        <w:rPr>
          <w:rFonts w:ascii="Arial" w:hAnsi="Arial" w:cs="Arial"/>
          <w:b/>
          <w:u w:val="single"/>
        </w:rPr>
      </w:r>
      <w:r>
        <w:rPr>
          <w:rFonts w:ascii="Arial" w:hAnsi="Arial" w:cs="Arial"/>
          <w:b/>
          <w:u w:val="single"/>
        </w:rPr>
      </w:r>
    </w:p>
    <w:p w14:paraId="7247F3D7" w14:textId="77777777">
      <w:pPr>
        <w:pBdr/>
        <w:spacing/>
        <w:ind/>
        <w:jc w:val="both"/>
        <w:rPr/>
      </w:pPr>
      <w:r>
        <w:rPr>
          <w:rFonts w:ascii="Arial" w:hAnsi="Arial" w:cs="Arial"/>
          <w:b/>
        </w:rPr>
        <w:t xml:space="preserve">25.1.</w:t>
      </w:r>
      <w:r>
        <w:rPr>
          <w:rFonts w:ascii="Arial" w:hAnsi="Arial" w:cs="Arial"/>
        </w:rPr>
        <w:t xml:space="preserve"> Fica eleito o foro de Rondonópolis, Estado de Mato Grosso, como competente para dirimir quaisquer dúvidas ou questões decorrentes da execução deste contrato, que não puderem ser compostas pela conciliação, conforme art. 92, §1º, da Lei nº 14.133/2021.</w:t>
      </w:r>
      <w:r/>
    </w:p>
    <w:p w14:paraId="4D627C03" w14:textId="77777777">
      <w:pPr>
        <w:pBdr/>
        <w:spacing/>
        <w:ind/>
        <w:jc w:val="both"/>
        <w:rPr>
          <w:rFonts w:ascii="Arial" w:hAnsi="Arial" w:cs="Arial"/>
          <w:b/>
          <w:u w:val="single"/>
        </w:rPr>
      </w:pPr>
      <w:r>
        <w:rPr>
          <w:rFonts w:ascii="Arial" w:hAnsi="Arial" w:cs="Arial"/>
          <w:b/>
          <w:u w:val="single"/>
        </w:rPr>
      </w:r>
      <w:r>
        <w:rPr>
          <w:rFonts w:ascii="Arial" w:hAnsi="Arial" w:cs="Arial"/>
          <w:b/>
          <w:u w:val="single"/>
        </w:rPr>
      </w:r>
    </w:p>
    <w:p w14:paraId="563C5123" w14:textId="77777777">
      <w:pPr>
        <w:pBdr/>
        <w:spacing/>
        <w:ind/>
        <w:jc w:val="both"/>
        <w:rPr/>
      </w:pPr>
      <w:r>
        <w:rPr>
          <w:rFonts w:ascii="Arial" w:hAnsi="Arial" w:cs="Arial"/>
        </w:rPr>
        <w:t xml:space="preserve">E, para firmeza e validade do que foi pactuado, lavrou-se o presente </w:t>
      </w:r>
      <w:r>
        <w:rPr>
          <w:rFonts w:ascii="Arial" w:hAnsi="Arial" w:cs="Arial"/>
          <w:b/>
          <w:bCs/>
        </w:rPr>
        <w:t xml:space="preserve">CONTRATO </w:t>
      </w:r>
      <w:r>
        <w:rPr>
          <w:rFonts w:ascii="Arial" w:hAnsi="Arial" w:cs="Arial"/>
        </w:rPr>
        <w:t xml:space="preserve">em 04 (quatro) vias de igual teor e forma, para que surtam um só efeito, as quais, depois de lidas, são assinadas pelos representantes do </w:t>
      </w:r>
      <w:r>
        <w:rPr>
          <w:rFonts w:ascii="Arial" w:hAnsi="Arial" w:cs="Arial"/>
          <w:b/>
          <w:bCs/>
        </w:rPr>
        <w:t xml:space="preserve">CONTRATANTE </w:t>
      </w:r>
      <w:r>
        <w:rPr>
          <w:rFonts w:ascii="Arial" w:hAnsi="Arial" w:cs="Arial"/>
        </w:rPr>
        <w:t xml:space="preserve">e da </w:t>
      </w:r>
      <w:r>
        <w:rPr>
          <w:rFonts w:ascii="Arial" w:hAnsi="Arial" w:cs="Arial"/>
          <w:b/>
          <w:bCs/>
        </w:rPr>
        <w:t xml:space="preserve">CONTRATADA</w:t>
      </w:r>
      <w:r>
        <w:rPr>
          <w:rFonts w:ascii="Arial" w:hAnsi="Arial" w:cs="Arial"/>
        </w:rPr>
        <w:t xml:space="preserve">, e pelas testemunhas abaixo relacionadas.</w:t>
      </w:r>
      <w:r/>
    </w:p>
    <w:p w14:paraId="63018195" w14:textId="77777777">
      <w:pPr>
        <w:pBdr/>
        <w:spacing/>
        <w:ind w:right="-20"/>
        <w:jc w:val="right"/>
        <w:rPr>
          <w:rFonts w:ascii="Arial" w:hAnsi="Arial" w:cs="Arial"/>
          <w:spacing w:val="1"/>
        </w:rPr>
      </w:pPr>
      <w:r>
        <w:rPr>
          <w:rFonts w:ascii="Arial" w:hAnsi="Arial" w:cs="Arial"/>
          <w:spacing w:val="1"/>
        </w:rPr>
      </w:r>
      <w:r>
        <w:rPr>
          <w:rFonts w:ascii="Arial" w:hAnsi="Arial" w:cs="Arial"/>
          <w:spacing w:val="1"/>
        </w:rPr>
      </w:r>
    </w:p>
    <w:p w14:paraId="4BD5111D" w14:textId="77777777">
      <w:pPr>
        <w:pBdr/>
        <w:spacing/>
        <w:ind w:right="-20"/>
        <w:jc w:val="right"/>
        <w:rPr/>
      </w:pPr>
      <w:r>
        <w:rPr>
          <w:rFonts w:ascii="Arial" w:hAnsi="Arial" w:cs="Arial"/>
          <w:spacing w:val="1"/>
        </w:rPr>
        <w:t xml:space="preserve">Rondonópolis</w:t>
      </w:r>
      <w:r>
        <w:rPr>
          <w:rFonts w:ascii="Arial" w:hAnsi="Arial" w:cs="Arial"/>
        </w:rPr>
        <w:t xml:space="preserve">-</w:t>
      </w:r>
      <w:r>
        <w:rPr>
          <w:rFonts w:ascii="Arial" w:hAnsi="Arial" w:cs="Arial"/>
          <w:spacing w:val="2"/>
        </w:rPr>
        <w:t xml:space="preserve">MT.</w:t>
      </w:r>
      <w:r>
        <w:rPr>
          <w:rFonts w:ascii="Arial" w:hAnsi="Arial" w:cs="Arial"/>
        </w:rPr>
        <w:t xml:space="preserve">,</w:t>
      </w:r>
      <w:r>
        <w:rPr>
          <w:rFonts w:ascii="Arial" w:hAnsi="Arial" w:cs="Arial"/>
          <w:spacing w:val="10"/>
        </w:rPr>
        <w:t xml:space="preserve"> ___ de ____________ </w:t>
      </w:r>
      <w:r>
        <w:rPr>
          <w:rFonts w:ascii="Arial" w:hAnsi="Arial" w:cs="Arial"/>
          <w:spacing w:val="2"/>
        </w:rPr>
        <w:t xml:space="preserve">d</w:t>
      </w:r>
      <w:r>
        <w:rPr>
          <w:rFonts w:ascii="Arial" w:hAnsi="Arial" w:cs="Arial"/>
        </w:rPr>
        <w:t xml:space="preserve">e</w:t>
      </w:r>
      <w:r>
        <w:rPr>
          <w:rFonts w:ascii="Arial" w:hAnsi="Arial" w:cs="Arial"/>
          <w:spacing w:val="10"/>
        </w:rPr>
        <w:t xml:space="preserve"> </w:t>
      </w:r>
      <w:r>
        <w:rPr>
          <w:rFonts w:ascii="Arial" w:hAnsi="Arial" w:cs="Arial"/>
        </w:rPr>
        <w:t xml:space="preserve">2026</w:t>
      </w:r>
      <w:r>
        <w:t xml:space="preserve">.</w:t>
      </w:r>
      <w:r/>
    </w:p>
    <w:tbl>
      <w:tblPr>
        <w:tblW w:w="0" w:type="auto"/>
        <w:tblCellMar>
          <w:left w:w="70" w:type="dxa"/>
          <w:right w:w="70" w:type="dxa"/>
        </w:tblCellMar>
        <w:tblBorders/>
        <w:tblLayout w:type="fixed"/>
        <w:tblLook w:val="0000" w:firstRow="0" w:lastRow="0" w:firstColumn="0" w:lastColumn="0" w:noHBand="0" w:noVBand="0"/>
      </w:tblPr>
      <w:tblGrid>
        <w:gridCol w:w="4930"/>
        <w:gridCol w:w="720"/>
        <w:gridCol w:w="3760"/>
      </w:tblGrid>
      <w:tr>
        <w:trPr/>
        <w:tc>
          <w:tcPr>
            <w:gridSpan w:val="2"/>
            <w:tcBorders/>
            <w:tcW w:w="5650" w:type="dxa"/>
            <w:textDirection w:val="lrTb"/>
            <w:noWrap w:val="false"/>
          </w:tcPr>
          <w:p w14:paraId="47FE5329" w14:textId="77777777">
            <w:pPr>
              <w:pStyle w:val="1364"/>
              <w:pBdr/>
              <w:spacing/>
              <w:ind/>
              <w:jc w:val="center"/>
              <w:rPr/>
            </w:pPr>
            <w:r>
              <w:rPr>
                <w:rFonts w:ascii="Arial" w:hAnsi="Arial" w:cs="Arial"/>
              </w:rPr>
              <w:t xml:space="preserve">O MUNICÍPIO DE RONDONÓPOLIS-MT.</w:t>
            </w:r>
            <w:r/>
          </w:p>
          <w:p w14:paraId="02C92CA2" w14:textId="77777777">
            <w:pPr>
              <w:pBdr/>
              <w:spacing/>
              <w:ind/>
              <w:jc w:val="center"/>
              <w:rPr/>
            </w:pPr>
            <w:r>
              <w:rPr>
                <w:rFonts w:ascii="Arial" w:hAnsi="Arial" w:cs="Arial"/>
              </w:rPr>
              <w:t xml:space="preserve">CONTRATANTE</w:t>
            </w:r>
            <w:r/>
          </w:p>
        </w:tc>
        <w:tc>
          <w:tcPr>
            <w:tcBorders/>
            <w:tcW w:w="3760" w:type="dxa"/>
            <w:textDirection w:val="lrTb"/>
            <w:noWrap w:val="false"/>
          </w:tcPr>
          <w:p w14:paraId="7AC1E311" w14:textId="77777777">
            <w:pPr>
              <w:pStyle w:val="1364"/>
              <w:pBdr/>
              <w:spacing/>
              <w:ind/>
              <w:jc w:val="center"/>
              <w:rPr>
                <w:rFonts w:ascii="Arial" w:hAnsi="Arial" w:cs="Arial"/>
              </w:rPr>
            </w:pPr>
            <w:r>
              <w:rPr>
                <w:rFonts w:ascii="Arial" w:hAnsi="Arial" w:cs="Arial"/>
              </w:rPr>
            </w:r>
            <w:r>
              <w:rPr>
                <w:rFonts w:ascii="Arial" w:hAnsi="Arial" w:cs="Arial"/>
              </w:rPr>
            </w:r>
          </w:p>
          <w:p w14:paraId="7B31076C" w14:textId="77777777">
            <w:pPr>
              <w:pStyle w:val="1364"/>
              <w:pBdr/>
              <w:spacing/>
              <w:ind/>
              <w:jc w:val="center"/>
              <w:rPr/>
            </w:pPr>
            <w:r>
              <w:rPr>
                <w:rFonts w:ascii="Arial" w:hAnsi="Arial" w:cs="Arial"/>
              </w:rPr>
              <w:t xml:space="preserve">CONTRATADA</w:t>
            </w:r>
            <w:r/>
          </w:p>
          <w:p w14:paraId="22F6C1EE" w14:textId="77777777">
            <w:pPr>
              <w:pBdr/>
              <w:spacing/>
              <w:ind/>
              <w:jc w:val="center"/>
              <w:rPr>
                <w:rFonts w:ascii="Arial" w:hAnsi="Arial" w:cs="Arial"/>
              </w:rPr>
            </w:pPr>
            <w:r>
              <w:rPr>
                <w:rFonts w:ascii="Arial" w:hAnsi="Arial" w:cs="Arial"/>
              </w:rPr>
            </w:r>
            <w:r>
              <w:rPr>
                <w:rFonts w:ascii="Arial" w:hAnsi="Arial" w:cs="Arial"/>
              </w:rPr>
            </w:r>
          </w:p>
        </w:tc>
      </w:tr>
      <w:tr>
        <w:trPr/>
        <w:tc>
          <w:tcPr>
            <w:tcBorders/>
            <w:tcW w:w="4930" w:type="dxa"/>
            <w:textDirection w:val="lrTb"/>
            <w:noWrap w:val="false"/>
          </w:tcPr>
          <w:p w14:paraId="4E45DBBF" w14:textId="77777777">
            <w:pPr>
              <w:pBdr/>
              <w:spacing/>
              <w:ind/>
              <w:jc w:val="center"/>
              <w:rPr/>
            </w:pPr>
            <w:r>
              <w:rPr>
                <w:rFonts w:ascii="Arial" w:hAnsi="Arial" w:cs="Arial"/>
              </w:rPr>
              <w:t xml:space="preserve">TESTEMUNHAS:__________________________</w:t>
            </w:r>
            <w:r/>
          </w:p>
          <w:p w14:paraId="690C1E1A" w14:textId="77777777">
            <w:pPr>
              <w:pBdr/>
              <w:spacing/>
              <w:ind/>
              <w:jc w:val="center"/>
              <w:rPr/>
            </w:pPr>
            <w:r>
              <w:rPr>
                <w:rFonts w:ascii="Arial" w:hAnsi="Arial" w:eastAsia="Arial" w:cs="Arial"/>
              </w:rPr>
              <w:t xml:space="preserve">                       </w:t>
            </w:r>
            <w:r>
              <w:rPr>
                <w:rFonts w:ascii="Arial" w:hAnsi="Arial" w:cs="Arial"/>
              </w:rPr>
              <w:t xml:space="preserve">RG N.º</w:t>
            </w:r>
            <w:r/>
          </w:p>
        </w:tc>
        <w:tc>
          <w:tcPr>
            <w:gridSpan w:val="2"/>
            <w:tcBorders/>
            <w:tcW w:w="4480" w:type="dxa"/>
            <w:textDirection w:val="lrTb"/>
            <w:noWrap w:val="false"/>
          </w:tcPr>
          <w:p w14:paraId="10EBC4FB" w14:textId="77777777">
            <w:pPr>
              <w:pStyle w:val="1364"/>
              <w:pBdr/>
              <w:spacing/>
              <w:ind/>
              <w:jc w:val="center"/>
              <w:rPr/>
            </w:pPr>
            <w:r>
              <w:rPr>
                <w:rFonts w:ascii="Arial" w:hAnsi="Arial" w:cs="Arial"/>
              </w:rPr>
              <w:t xml:space="preserve">______________________________</w:t>
            </w:r>
            <w:r/>
          </w:p>
          <w:p w14:paraId="3FF09C7D" w14:textId="77777777">
            <w:pPr>
              <w:pStyle w:val="1364"/>
              <w:pBdr/>
              <w:spacing/>
              <w:ind/>
              <w:jc w:val="center"/>
              <w:rPr/>
            </w:pPr>
            <w:r>
              <w:rPr>
                <w:rFonts w:ascii="Arial" w:hAnsi="Arial" w:cs="Arial"/>
              </w:rPr>
              <w:t xml:space="preserve">RG N.º</w:t>
            </w:r>
            <w:r/>
          </w:p>
        </w:tc>
      </w:tr>
    </w:tbl>
    <w:p w14:paraId="5E2C03CB" w14:textId="77777777">
      <w:pPr>
        <w:pBdr/>
        <w:spacing/>
        <w:ind/>
        <w:rPr/>
      </w:pPr>
      <w:r>
        <w:rPr>
          <w:rFonts w:ascii="Arial" w:hAnsi="Arial" w:eastAsia="Arial" w:cs="Arial"/>
        </w:rPr>
        <w:t xml:space="preserve">                                                                  </w:t>
      </w:r>
      <w:r/>
    </w:p>
    <w:p w14:paraId="599A7B61" w14:textId="77777777">
      <w:pPr>
        <w:pBdr/>
        <w:spacing/>
        <w:ind/>
        <w:rPr/>
      </w:pPr>
      <w:r>
        <w:rPr>
          <w:rFonts w:ascii="Arial" w:hAnsi="Arial" w:eastAsia="Arial" w:cs="Arial"/>
        </w:rPr>
        <w:t xml:space="preserve">                                                     </w:t>
      </w:r>
      <w:r/>
    </w:p>
    <w:p w14:paraId="167C2304" w14:textId="77777777">
      <w:pPr>
        <w:pBdr/>
        <w:spacing/>
        <w:ind/>
        <w:rPr/>
      </w:pPr>
      <w:r>
        <w:rPr>
          <w:rFonts w:ascii="Arial" w:hAnsi="Arial" w:eastAsia="Arial" w:cs="Arial"/>
        </w:rPr>
        <w:t xml:space="preserve">                                                    </w:t>
      </w:r>
      <w:r>
        <w:rPr>
          <w:rFonts w:ascii="Arial" w:hAnsi="Arial" w:cs="Arial"/>
        </w:rPr>
        <w:t xml:space="preserve">DE ACORDO:________________________________</w:t>
      </w:r>
      <w:r/>
    </w:p>
    <w:p w14:paraId="3357FDB6" w14:textId="77777777">
      <w:pPr>
        <w:pBdr/>
        <w:tabs>
          <w:tab w:val="right" w:leader="none" w:pos="9072"/>
        </w:tabs>
        <w:spacing/>
        <w:ind/>
        <w:jc w:val="center"/>
        <w:rPr/>
      </w:pPr>
      <w:r>
        <w:rPr>
          <w:rFonts w:ascii="Arial" w:hAnsi="Arial" w:eastAsia="Arial" w:cs="Arial"/>
        </w:rPr>
        <w:t xml:space="preserve">                       </w:t>
      </w:r>
      <w:r>
        <w:rPr>
          <w:rFonts w:ascii="Arial" w:hAnsi="Arial" w:cs="Arial"/>
        </w:rPr>
        <w:t xml:space="preserve">ASSESSORIA JURÍDICA</w:t>
      </w:r>
      <w:r/>
    </w:p>
    <w:p w14:paraId="51ACFDDE" w14:textId="77777777">
      <w:pPr>
        <w:pBdr/>
        <w:spacing/>
        <w:ind/>
        <w:jc w:val="both"/>
        <w:rPr>
          <w:rFonts w:ascii="Arial" w:hAnsi="Arial" w:cs="Arial"/>
          <w:b/>
        </w:rPr>
      </w:pPr>
      <w:r>
        <w:rPr>
          <w:rFonts w:ascii="Arial" w:hAnsi="Arial" w:cs="Arial"/>
          <w:b/>
        </w:rPr>
      </w:r>
      <w:r>
        <w:rPr>
          <w:rFonts w:ascii="Arial" w:hAnsi="Arial" w:cs="Arial"/>
          <w:b/>
        </w:rPr>
      </w:r>
    </w:p>
    <w:p w14:paraId="749403D0" w14:textId="77777777">
      <w:pPr>
        <w:pBdr/>
        <w:spacing/>
        <w:ind/>
        <w:jc w:val="center"/>
        <w:rPr>
          <w:rFonts w:ascii="Arial" w:hAnsi="Arial" w:eastAsia="Arial" w:cs="Arial"/>
          <w:b/>
        </w:rPr>
      </w:pPr>
      <w:r>
        <w:br w:type="page" w:clear="all"/>
      </w:r>
      <w:r>
        <w:rPr>
          <w:rFonts w:ascii="Arial" w:hAnsi="Arial" w:eastAsia="Arial" w:cs="Arial"/>
          <w:b/>
        </w:rPr>
        <w:t xml:space="preserve">PAPEL TIMBRADO DA EMPRESA LICITANTE</w:t>
      </w:r>
      <w:r>
        <w:rPr>
          <w:rFonts w:ascii="Arial" w:hAnsi="Arial" w:eastAsia="Arial" w:cs="Arial"/>
          <w:b/>
        </w:rPr>
      </w:r>
    </w:p>
    <w:p w14:paraId="6D633E6B"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135E7274" w14:textId="77777777">
      <w:pPr>
        <w:pStyle w:val="882"/>
        <w:pBdr/>
        <w:spacing w:after="0" w:before="0"/>
        <w:ind/>
        <w:jc w:val="center"/>
        <w:rPr>
          <w:sz w:val="20"/>
          <w:szCs w:val="20"/>
          <w:lang w:val="pt-BR"/>
        </w:rPr>
      </w:pPr>
      <w:r/>
      <w:bookmarkStart w:id="47" w:name="_heading=h.t4dlcopg240v"/>
      <w:r/>
      <w:bookmarkEnd w:id="47"/>
      <w:r>
        <w:rPr>
          <w:sz w:val="20"/>
          <w:szCs w:val="20"/>
          <w:lang w:val="pt-BR"/>
        </w:rPr>
        <w:t xml:space="preserve">ANEXO IV: MODELO DE PROPOSTA COMERCIAL.</w:t>
      </w:r>
      <w:r>
        <w:rPr>
          <w:sz w:val="20"/>
          <w:szCs w:val="20"/>
          <w:lang w:val="pt-BR"/>
        </w:rPr>
      </w:r>
    </w:p>
    <w:p w14:paraId="29598F0E"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tbl>
      <w:tblPr>
        <w:tblInd w:w="5" w:type="dxa"/>
        <w:tblW w:w="10285" w:type="dxa"/>
        <w:tblBorders/>
        <w:tblLayout w:type="fixed"/>
        <w:tblLook w:val="0400" w:firstRow="0" w:lastRow="0" w:firstColumn="0" w:lastColumn="0" w:noHBand="0" w:noVBand="1"/>
      </w:tblPr>
      <w:tblGrid>
        <w:gridCol w:w="3414"/>
        <w:gridCol w:w="826"/>
        <w:gridCol w:w="1624"/>
        <w:gridCol w:w="1163"/>
        <w:gridCol w:w="437"/>
        <w:gridCol w:w="2821"/>
      </w:tblGrid>
      <w:tr>
        <w:trPr>
          <w:trHeight w:val="255"/>
        </w:trPr>
        <w:tc>
          <w:tcPr>
            <w:gridSpan w:val="4"/>
            <w:tcBorders>
              <w:top w:val="single" w:color="000000" w:sz="4" w:space="0"/>
              <w:left w:val="single" w:color="000000" w:sz="4" w:space="0"/>
              <w:bottom w:val="single" w:color="000000" w:sz="4" w:space="0"/>
              <w:right w:val="single" w:color="000000" w:sz="4" w:space="0"/>
            </w:tcBorders>
            <w:tcW w:w="7027" w:type="dxa"/>
            <w:textDirection w:val="lrTb"/>
            <w:noWrap w:val="false"/>
          </w:tcPr>
          <w:p w14:paraId="6BD1C76D" w14:textId="77777777">
            <w:pPr>
              <w:widowControl w:val="false"/>
              <w:pBdr/>
              <w:tabs>
                <w:tab w:val="left" w:leader="none" w:pos="2714"/>
                <w:tab w:val="left" w:leader="none" w:pos="10419"/>
              </w:tabs>
              <w:spacing/>
              <w:ind/>
              <w:rPr/>
            </w:pPr>
            <w:r>
              <w:rPr>
                <w:rFonts w:ascii="Arial" w:hAnsi="Arial" w:eastAsia="Arial" w:cs="Arial"/>
                <w:b/>
              </w:rPr>
              <w:t xml:space="preserve">Licitante Razão Social:</w:t>
            </w:r>
            <w:r/>
          </w:p>
        </w:tc>
        <w:tc>
          <w:tcPr>
            <w:gridSpan w:val="2"/>
            <w:tcBorders>
              <w:top w:val="single" w:color="000000" w:sz="4" w:space="0"/>
              <w:left w:val="single" w:color="000000" w:sz="4" w:space="0"/>
              <w:bottom w:val="single" w:color="000000" w:sz="4" w:space="0"/>
              <w:right w:val="single" w:color="000000" w:sz="4" w:space="0"/>
            </w:tcBorders>
            <w:tcW w:w="3258" w:type="dxa"/>
            <w:textDirection w:val="lrTb"/>
            <w:noWrap w:val="false"/>
          </w:tcPr>
          <w:p w14:paraId="69DC9B67" w14:textId="77777777">
            <w:pPr>
              <w:widowControl w:val="false"/>
              <w:pBdr/>
              <w:tabs>
                <w:tab w:val="left" w:leader="none" w:pos="2714"/>
                <w:tab w:val="left" w:leader="none" w:pos="10419"/>
              </w:tabs>
              <w:spacing/>
              <w:ind/>
              <w:rPr/>
            </w:pPr>
            <w:r>
              <w:rPr>
                <w:rFonts w:ascii="Arial" w:hAnsi="Arial" w:eastAsia="Arial" w:cs="Arial"/>
                <w:b/>
              </w:rPr>
              <w:t xml:space="preserve">CNPJ N.º:</w:t>
            </w:r>
            <w:r/>
          </w:p>
        </w:tc>
      </w:tr>
      <w:tr>
        <w:trPr>
          <w:trHeight w:val="255"/>
        </w:trPr>
        <w:tc>
          <w:tcPr>
            <w:tcBorders>
              <w:top w:val="single" w:color="000000" w:sz="4" w:space="0"/>
              <w:left w:val="single" w:color="000000" w:sz="4" w:space="0"/>
              <w:bottom w:val="single" w:color="000000" w:sz="4" w:space="0"/>
              <w:right w:val="single" w:color="000000" w:sz="4" w:space="0"/>
            </w:tcBorders>
            <w:tcW w:w="3414" w:type="dxa"/>
            <w:textDirection w:val="lrTb"/>
            <w:noWrap w:val="false"/>
          </w:tcPr>
          <w:p w14:paraId="4CEE3E93" w14:textId="77777777">
            <w:pPr>
              <w:widowControl w:val="false"/>
              <w:pBdr/>
              <w:tabs>
                <w:tab w:val="left" w:leader="none" w:pos="2714"/>
                <w:tab w:val="left" w:leader="none" w:pos="10419"/>
              </w:tabs>
              <w:spacing/>
              <w:ind/>
              <w:rPr/>
            </w:pPr>
            <w:r>
              <w:rPr>
                <w:rFonts w:ascii="Arial" w:hAnsi="Arial" w:eastAsia="Arial" w:cs="Arial"/>
                <w:b/>
              </w:rPr>
              <w:t xml:space="preserve">Telefone fixo:</w:t>
            </w:r>
            <w:r/>
          </w:p>
        </w:tc>
        <w:tc>
          <w:tcPr>
            <w:gridSpan w:val="2"/>
            <w:tcBorders>
              <w:top w:val="single" w:color="000000" w:sz="4" w:space="0"/>
              <w:left w:val="single" w:color="000000" w:sz="4" w:space="0"/>
              <w:bottom w:val="single" w:color="000000" w:sz="4" w:space="0"/>
              <w:right w:val="single" w:color="000000" w:sz="4" w:space="0"/>
            </w:tcBorders>
            <w:tcW w:w="2450" w:type="dxa"/>
            <w:textDirection w:val="lrTb"/>
            <w:noWrap w:val="false"/>
          </w:tcPr>
          <w:p w14:paraId="6AE362E5" w14:textId="77777777">
            <w:pPr>
              <w:widowControl w:val="false"/>
              <w:pBdr/>
              <w:tabs>
                <w:tab w:val="left" w:leader="none" w:pos="2714"/>
                <w:tab w:val="left" w:leader="none" w:pos="10419"/>
              </w:tabs>
              <w:spacing/>
              <w:ind/>
              <w:rPr/>
            </w:pPr>
            <w:r>
              <w:rPr>
                <w:rFonts w:ascii="Arial" w:hAnsi="Arial" w:eastAsia="Arial" w:cs="Arial"/>
                <w:b/>
              </w:rPr>
              <w:t xml:space="preserve">Celular:</w:t>
            </w:r>
            <w:r/>
          </w:p>
        </w:tc>
        <w:tc>
          <w:tcPr>
            <w:gridSpan w:val="3"/>
            <w:tcBorders>
              <w:top w:val="single" w:color="000000" w:sz="4" w:space="0"/>
              <w:left w:val="single" w:color="000000" w:sz="4" w:space="0"/>
              <w:bottom w:val="single" w:color="000000" w:sz="4" w:space="0"/>
              <w:right w:val="single" w:color="000000" w:sz="4" w:space="0"/>
            </w:tcBorders>
            <w:tcW w:w="4421" w:type="dxa"/>
            <w:textDirection w:val="lrTb"/>
            <w:noWrap w:val="false"/>
          </w:tcPr>
          <w:p w14:paraId="3055CEB3" w14:textId="77777777">
            <w:pPr>
              <w:widowControl w:val="false"/>
              <w:pBdr/>
              <w:tabs>
                <w:tab w:val="left" w:leader="none" w:pos="2714"/>
                <w:tab w:val="left" w:leader="none" w:pos="10419"/>
              </w:tabs>
              <w:spacing/>
              <w:ind/>
              <w:rPr/>
            </w:pPr>
            <w:r>
              <w:rPr>
                <w:rFonts w:ascii="Arial" w:hAnsi="Arial" w:eastAsia="Arial" w:cs="Arial"/>
                <w:b/>
              </w:rPr>
              <w:t xml:space="preserve">Endereço eletrônico e-mail:</w:t>
            </w:r>
            <w:r/>
          </w:p>
        </w:tc>
      </w:tr>
      <w:tr>
        <w:trPr>
          <w:trHeight w:val="255"/>
        </w:trPr>
        <w:tc>
          <w:tcPr>
            <w:gridSpan w:val="6"/>
            <w:tcBorders>
              <w:top w:val="single" w:color="000000" w:sz="4" w:space="0"/>
              <w:left w:val="single" w:color="000000" w:sz="4" w:space="0"/>
              <w:bottom w:val="single" w:color="000000" w:sz="4" w:space="0"/>
              <w:right w:val="single" w:color="000000" w:sz="4" w:space="0"/>
            </w:tcBorders>
            <w:tcW w:w="10285" w:type="dxa"/>
            <w:textDirection w:val="lrTb"/>
            <w:noWrap w:val="false"/>
          </w:tcPr>
          <w:p w14:paraId="5616840D" w14:textId="77777777">
            <w:pPr>
              <w:widowControl w:val="false"/>
              <w:pBdr/>
              <w:tabs>
                <w:tab w:val="left" w:leader="none" w:pos="2714"/>
                <w:tab w:val="left" w:leader="none" w:pos="10419"/>
              </w:tabs>
              <w:spacing/>
              <w:ind/>
              <w:rPr/>
            </w:pPr>
            <w:r>
              <w:rPr>
                <w:rFonts w:ascii="Arial" w:hAnsi="Arial" w:eastAsia="Arial" w:cs="Arial"/>
                <w:b/>
              </w:rPr>
              <w:t xml:space="preserve">Endereço Completo Rua, Nº, Bairro, Município, Estado, CEP:</w:t>
            </w:r>
            <w:r/>
          </w:p>
        </w:tc>
      </w:tr>
      <w:tr>
        <w:trPr>
          <w:trHeight w:val="272"/>
        </w:trPr>
        <w:tc>
          <w:tcPr>
            <w:gridSpan w:val="2"/>
            <w:tcBorders>
              <w:top w:val="single" w:color="000000" w:sz="4" w:space="0"/>
              <w:left w:val="single" w:color="000000" w:sz="4" w:space="0"/>
              <w:bottom w:val="single" w:color="000000" w:sz="4" w:space="0"/>
              <w:right w:val="single" w:color="000000" w:sz="4" w:space="0"/>
            </w:tcBorders>
            <w:tcW w:w="4240" w:type="dxa"/>
            <w:textDirection w:val="lrTb"/>
            <w:noWrap w:val="false"/>
          </w:tcPr>
          <w:p w14:paraId="54ACE8D4" w14:textId="77777777">
            <w:pPr>
              <w:widowControl w:val="false"/>
              <w:pBdr/>
              <w:spacing/>
              <w:ind/>
              <w:jc w:val="both"/>
              <w:rPr/>
            </w:pPr>
            <w:r>
              <w:rPr>
                <w:rFonts w:ascii="Arial" w:hAnsi="Arial" w:eastAsia="Arial" w:cs="Arial"/>
                <w:b/>
              </w:rPr>
              <w:t xml:space="preserve">Conta Corrente nº:</w:t>
            </w:r>
            <w:r/>
          </w:p>
        </w:tc>
        <w:tc>
          <w:tcPr>
            <w:gridSpan w:val="3"/>
            <w:tcBorders>
              <w:top w:val="single" w:color="000000" w:sz="4" w:space="0"/>
              <w:left w:val="single" w:color="000000" w:sz="4" w:space="0"/>
              <w:bottom w:val="single" w:color="000000" w:sz="4" w:space="0"/>
              <w:right w:val="single" w:color="000000" w:sz="4" w:space="0"/>
            </w:tcBorders>
            <w:tcW w:w="3224" w:type="dxa"/>
            <w:textDirection w:val="lrTb"/>
            <w:noWrap w:val="false"/>
          </w:tcPr>
          <w:p w14:paraId="086CF458" w14:textId="77777777">
            <w:pPr>
              <w:widowControl w:val="false"/>
              <w:pBdr/>
              <w:spacing/>
              <w:ind/>
              <w:jc w:val="both"/>
              <w:rPr/>
            </w:pPr>
            <w:r>
              <w:rPr>
                <w:rFonts w:ascii="Arial" w:hAnsi="Arial" w:eastAsia="Arial" w:cs="Arial"/>
                <w:b/>
              </w:rPr>
              <w:t xml:space="preserve">Agência:</w:t>
            </w:r>
            <w:r/>
          </w:p>
        </w:tc>
        <w:tc>
          <w:tcPr>
            <w:tcBorders>
              <w:top w:val="single" w:color="000000" w:sz="4" w:space="0"/>
              <w:left w:val="single" w:color="000000" w:sz="4" w:space="0"/>
              <w:bottom w:val="single" w:color="000000" w:sz="4" w:space="0"/>
              <w:right w:val="single" w:color="000000" w:sz="4" w:space="0"/>
            </w:tcBorders>
            <w:tcW w:w="2821" w:type="dxa"/>
            <w:textDirection w:val="lrTb"/>
            <w:noWrap w:val="false"/>
          </w:tcPr>
          <w:p w14:paraId="56E699F3" w14:textId="77777777">
            <w:pPr>
              <w:widowControl w:val="false"/>
              <w:pBdr/>
              <w:spacing/>
              <w:ind/>
              <w:jc w:val="both"/>
              <w:rPr/>
            </w:pPr>
            <w:r>
              <w:rPr>
                <w:rFonts w:ascii="Arial" w:hAnsi="Arial" w:eastAsia="Arial" w:cs="Arial"/>
                <w:b/>
              </w:rPr>
              <w:t xml:space="preserve">Banco:</w:t>
            </w:r>
            <w:r/>
          </w:p>
        </w:tc>
      </w:tr>
    </w:tbl>
    <w:p w14:paraId="70D23A5F" w14:textId="77777777">
      <w:pPr>
        <w:pBdr/>
        <w:tabs>
          <w:tab w:val="left" w:leader="none" w:pos="2714"/>
          <w:tab w:val="left" w:leader="none" w:pos="10419"/>
        </w:tabs>
        <w:spacing/>
        <w:ind/>
        <w:rPr>
          <w:rFonts w:ascii="Arial" w:hAnsi="Arial" w:eastAsia="Arial" w:cs="Arial"/>
          <w:b/>
        </w:rPr>
      </w:pPr>
      <w:r>
        <w:rPr>
          <w:rFonts w:ascii="Arial" w:hAnsi="Arial" w:eastAsia="Arial" w:cs="Arial"/>
          <w:b/>
        </w:rPr>
      </w:r>
      <w:r>
        <w:rPr>
          <w:rFonts w:ascii="Arial" w:hAnsi="Arial" w:eastAsia="Arial" w:cs="Arial"/>
          <w:b/>
        </w:rPr>
      </w:r>
    </w:p>
    <w:p w14:paraId="4C1652E9" w14:textId="77777777">
      <w:pPr>
        <w:pBdr/>
        <w:tabs>
          <w:tab w:val="left" w:leader="none" w:pos="2714"/>
          <w:tab w:val="left" w:leader="none" w:pos="10419"/>
        </w:tabs>
        <w:spacing/>
        <w:ind/>
        <w:rPr/>
      </w:pPr>
      <w:r>
        <w:rPr>
          <w:rFonts w:ascii="Arial" w:hAnsi="Arial" w:eastAsia="Arial" w:cs="Arial"/>
          <w:b/>
        </w:rPr>
        <w:t xml:space="preserve">Licitação Modalidade: Pregão Eletrônico N.º: 10/2026. Tipo: Menor Preço POR LOTE. </w:t>
      </w:r>
      <w:r/>
    </w:p>
    <w:p w14:paraId="0F778CFD" w14:textId="77777777">
      <w:pPr>
        <w:pBdr/>
        <w:tabs>
          <w:tab w:val="left" w:leader="none" w:pos="2714"/>
          <w:tab w:val="left" w:leader="none" w:pos="10419"/>
        </w:tabs>
        <w:spacing/>
        <w:ind/>
        <w:rPr>
          <w:rFonts w:ascii="Arial" w:hAnsi="Arial" w:eastAsia="Arial" w:cs="Arial"/>
          <w:b/>
        </w:rPr>
      </w:pPr>
      <w:r>
        <w:rPr>
          <w:rFonts w:ascii="Arial" w:hAnsi="Arial" w:eastAsia="Arial" w:cs="Arial"/>
          <w:b/>
        </w:rPr>
      </w:r>
      <w:r>
        <w:rPr>
          <w:rFonts w:ascii="Arial" w:hAnsi="Arial" w:eastAsia="Arial" w:cs="Arial"/>
          <w:b/>
        </w:rPr>
      </w:r>
    </w:p>
    <w:p w14:paraId="78687F4D" w14:textId="77777777">
      <w:pPr>
        <w:pBdr/>
        <w:spacing/>
        <w:ind/>
        <w:jc w:val="both"/>
        <w:rPr>
          <w:rFonts w:ascii="Arial" w:hAnsi="Arial" w:eastAsia="Arial" w:cs="Arial"/>
          <w:b/>
          <w:bCs/>
          <w:i/>
          <w:sz w:val="18"/>
          <w:szCs w:val="18"/>
        </w:rPr>
      </w:pPr>
      <w:r>
        <w:rPr>
          <w:rFonts w:ascii="Arial" w:hAnsi="Arial" w:eastAsia="Arial" w:cs="Arial"/>
          <w:b/>
          <w:sz w:val="18"/>
          <w:szCs w:val="18"/>
        </w:rPr>
        <w:t xml:space="preserve">Objeto: </w:t>
      </w:r>
      <w:r>
        <w:rPr>
          <w:rFonts w:ascii="Arial" w:hAnsi="Arial" w:eastAsia="Arial" w:cs="Arial"/>
          <w:b/>
          <w:bCs/>
          <w:i/>
          <w:sz w:val="18"/>
          <w:szCs w:val="18"/>
        </w:rPr>
        <w:t xml:space="preserve">REGIST</w:t>
      </w:r>
      <w:r>
        <w:rPr>
          <w:rFonts w:ascii="Arial" w:hAnsi="Arial" w:eastAsia="Arial" w:cs="Arial"/>
          <w:b/>
          <w:bCs/>
          <w:i/>
          <w:sz w:val="18"/>
          <w:szCs w:val="18"/>
        </w:rPr>
        <w:t xml:space="preserve">RO DE PREÇOS PARA FUTURA E EVENTUAL CONTRATAÇÃO DE SERVIÇOS FUNERÁRIOS DE TRANSLADO E TANATOPRAXIA, DESTINADOS AO ATENDIMENTO DAS NECESSIDA-DES DE FAMÍLIAS EM SITUAÇÃO DE VUL-NERABILIDADE SOCIOECONÔMICA, ASSISTIDAS PELA SECRETARIA MUNICIPAL DE PROMOÇÃO E A</w:t>
      </w:r>
      <w:r>
        <w:rPr>
          <w:rFonts w:ascii="Arial" w:hAnsi="Arial" w:eastAsia="Arial" w:cs="Arial"/>
          <w:b/>
          <w:bCs/>
          <w:i/>
          <w:sz w:val="18"/>
          <w:szCs w:val="18"/>
        </w:rPr>
        <w:t xml:space="preserve">SSISTÊNCIA SOCIAL – SEMPRAS. A CONTRATAÇÃO BUSCA ASSEGURAR A PRESTAÇÃO TEMPESTIVA, CONTÍNUA E ADE-QUADA DOS SERVIÇOS, GARANTINDO DIGNIDADE NO ATENDIMENTO ÀS SITUAÇÕES DE ÓBITO, CONFORME ES-PECIFICAÇÕES E QUANTITATIVOS ESTABELECIDOS NO EDI-TAL E SEUS ANEXOS</w:t>
      </w:r>
      <w:r>
        <w:rPr>
          <w:rFonts w:ascii="Arial" w:hAnsi="Arial" w:eastAsia="Arial" w:cs="Arial"/>
          <w:b/>
          <w:bCs/>
          <w:i/>
          <w:sz w:val="18"/>
          <w:szCs w:val="18"/>
        </w:rPr>
      </w:r>
    </w:p>
    <w:p w14:paraId="5BE8B26B" w14:textId="77777777">
      <w:pPr>
        <w:pBdr/>
        <w:spacing/>
        <w:ind/>
        <w:jc w:val="both"/>
        <w:rPr>
          <w:rFonts w:ascii="Arial" w:hAnsi="Arial" w:eastAsia="Arial" w:cs="Arial"/>
          <w:b/>
          <w:sz w:val="18"/>
          <w:szCs w:val="18"/>
        </w:rPr>
      </w:pPr>
      <w:r>
        <w:rPr>
          <w:rFonts w:ascii="Arial" w:hAnsi="Arial" w:eastAsia="Arial" w:cs="Arial"/>
          <w:b/>
          <w:sz w:val="18"/>
          <w:szCs w:val="18"/>
        </w:rPr>
      </w:r>
      <w:r>
        <w:rPr>
          <w:rFonts w:ascii="Arial" w:hAnsi="Arial" w:eastAsia="Arial" w:cs="Arial"/>
          <w:b/>
          <w:sz w:val="18"/>
          <w:szCs w:val="18"/>
        </w:rPr>
      </w:r>
    </w:p>
    <w:p w14:paraId="0911A00C" w14:textId="77777777">
      <w:pPr>
        <w:pStyle w:val="1067"/>
        <w:pBdr/>
        <w:spacing/>
        <w:ind/>
        <w:jc w:val="center"/>
        <w:rPr>
          <w:rFonts w:eastAsia="Verdana"/>
          <w:b/>
          <w:sz w:val="20"/>
          <w:szCs w:val="20"/>
          <w:highlight w:val="yellow"/>
        </w:rPr>
      </w:pPr>
      <w:r>
        <w:rPr>
          <w:rFonts w:eastAsia="Verdana"/>
          <w:b/>
          <w:sz w:val="20"/>
          <w:szCs w:val="20"/>
          <w:highlight w:val="yellow"/>
        </w:rPr>
        <w:t xml:space="preserve">LOTE ÚNICO</w:t>
      </w:r>
      <w:r>
        <w:rPr>
          <w:rFonts w:eastAsia="Verdana"/>
          <w:b/>
          <w:sz w:val="20"/>
          <w:szCs w:val="20"/>
          <w:highlight w:val="yellow"/>
        </w:rPr>
      </w:r>
    </w:p>
    <w:p w14:paraId="0435926D" w14:textId="77777777">
      <w:pPr>
        <w:pBdr/>
        <w:spacing w:after="240" w:before="240"/>
        <w:ind/>
        <w:jc w:val="both"/>
        <w:rPr>
          <w:rFonts w:ascii="Arial" w:hAnsi="Arial" w:cs="Arial"/>
          <w:highlight w:val="yellow"/>
        </w:rPr>
      </w:pPr>
      <w:r>
        <w:rPr>
          <w:rFonts w:ascii="Arial" w:hAnsi="Arial" w:cs="Arial"/>
          <w:b/>
          <w:bCs/>
          <w:highlight w:val="yellow"/>
        </w:rPr>
        <w:t xml:space="preserve">PRODUTOS</w:t>
      </w:r>
      <w:r>
        <w:rPr>
          <w:rFonts w:ascii="Arial" w:hAnsi="Arial" w:cs="Arial"/>
          <w:highlight w:val="yellow"/>
        </w:rPr>
      </w:r>
    </w:p>
    <w:tbl>
      <w:tblPr>
        <w:tblW w:w="10073" w:type="dxa"/>
        <w:tblCellMar>
          <w:left w:w="15" w:type="dxa"/>
          <w:top w:w="15" w:type="dxa"/>
          <w:right w:w="15" w:type="dxa"/>
          <w:bottom w:w="15" w:type="dxa"/>
        </w:tblCellMa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Pr w:horzAnchor="page" w:tblpX="1223" w:vertAnchor="text" w:tblpY="228" w:leftFromText="180" w:topFromText="0" w:rightFromText="180" w:bottomFromText="0"/>
        <w:tblCellSpacing w:w="0" w:type="dxa"/>
        <w:tblOverlap w:val="never"/>
        <w:tblLook w:val="04A0" w:firstRow="1" w:lastRow="0" w:firstColumn="1" w:lastColumn="0" w:noHBand="0" w:noVBand="1"/>
      </w:tblPr>
      <w:tblGrid>
        <w:gridCol w:w="701"/>
        <w:gridCol w:w="5940"/>
        <w:gridCol w:w="546"/>
        <w:gridCol w:w="553"/>
        <w:gridCol w:w="860"/>
        <w:gridCol w:w="1473"/>
      </w:tblGrid>
      <w:tr>
        <w:trPr>
          <w:tblCellSpacing w:w="0" w:type="dxa"/>
          <w:trHeight w:val="279"/>
        </w:trPr>
        <w:tc>
          <w:tcPr>
            <w:shd w:val="clear" w:color="auto" w:fill="bfbfbf" w:themeFill="background1" w:themeFillShade="BF"/>
            <w:tcBorders/>
            <w:tcW w:w="701" w:type="dxa"/>
            <w:textDirection w:val="lrTb"/>
            <w:noWrap w:val="false"/>
          </w:tcPr>
          <w:p w14:paraId="163F1D91" w14:textId="77777777">
            <w:pPr>
              <w:pBdr/>
              <w:spacing/>
              <w:ind/>
              <w:jc w:val="center"/>
              <w:rPr>
                <w:b/>
                <w:bCs/>
                <w:sz w:val="13"/>
                <w:szCs w:val="13"/>
                <w:lang w:val="en-US" w:eastAsia="zh-CN"/>
              </w:rPr>
            </w:pPr>
            <w:r>
              <w:rPr>
                <w:b/>
                <w:bCs/>
                <w:sz w:val="13"/>
                <w:szCs w:val="13"/>
                <w:lang w:val="en-US" w:eastAsia="zh-CN"/>
              </w:rPr>
              <w:t xml:space="preserve">ITEM</w:t>
            </w:r>
            <w:r>
              <w:rPr>
                <w:b/>
                <w:bCs/>
                <w:sz w:val="13"/>
                <w:szCs w:val="13"/>
                <w:lang w:val="en-US" w:eastAsia="zh-CN"/>
              </w:rPr>
            </w:r>
          </w:p>
        </w:tc>
        <w:tc>
          <w:tcPr>
            <w:shd w:val="clear" w:color="auto" w:fill="bfbfbf" w:themeFill="background1" w:themeFillShade="BF"/>
            <w:tcBorders/>
            <w:tcW w:w="5940" w:type="dxa"/>
            <w:textDirection w:val="lrTb"/>
            <w:noWrap w:val="false"/>
          </w:tcPr>
          <w:p w14:paraId="0E5DFF79" w14:textId="77777777">
            <w:pPr>
              <w:pBdr/>
              <w:spacing/>
              <w:ind/>
              <w:jc w:val="center"/>
              <w:rPr>
                <w:b/>
                <w:bCs/>
                <w:sz w:val="13"/>
                <w:szCs w:val="13"/>
                <w:lang w:val="en-US" w:eastAsia="zh-CN"/>
              </w:rPr>
            </w:pPr>
            <w:r>
              <w:rPr>
                <w:b/>
                <w:bCs/>
                <w:sz w:val="13"/>
                <w:szCs w:val="13"/>
                <w:lang w:val="en-US" w:eastAsia="zh-CN"/>
              </w:rPr>
              <w:t xml:space="preserve">DESCRIÇÃO</w:t>
            </w:r>
            <w:r>
              <w:rPr>
                <w:b/>
                <w:bCs/>
                <w:sz w:val="13"/>
                <w:szCs w:val="13"/>
                <w:lang w:val="en-US" w:eastAsia="zh-CN"/>
              </w:rPr>
            </w:r>
          </w:p>
        </w:tc>
        <w:tc>
          <w:tcPr>
            <w:shd w:val="clear" w:color="auto" w:fill="bfbfbf" w:themeFill="background1" w:themeFillShade="BF"/>
            <w:tcBorders/>
            <w:tcW w:w="546" w:type="dxa"/>
            <w:textDirection w:val="lrTb"/>
            <w:noWrap w:val="false"/>
          </w:tcPr>
          <w:p w14:paraId="471E767C" w14:textId="77777777">
            <w:pPr>
              <w:pBdr/>
              <w:spacing/>
              <w:ind/>
              <w:jc w:val="center"/>
              <w:rPr>
                <w:b/>
                <w:bCs/>
                <w:sz w:val="13"/>
                <w:szCs w:val="13"/>
                <w:lang w:val="en-US" w:eastAsia="zh-CN"/>
              </w:rPr>
            </w:pPr>
            <w:r>
              <w:rPr>
                <w:b/>
                <w:bCs/>
                <w:sz w:val="13"/>
                <w:szCs w:val="13"/>
                <w:lang w:val="en-US" w:eastAsia="zh-CN"/>
              </w:rPr>
              <w:t xml:space="preserve">UN</w:t>
            </w:r>
            <w:r>
              <w:rPr>
                <w:b/>
                <w:bCs/>
                <w:sz w:val="13"/>
                <w:szCs w:val="13"/>
                <w:lang w:val="en-US" w:eastAsia="zh-CN"/>
              </w:rPr>
            </w:r>
          </w:p>
          <w:p w14:paraId="76B44F5B" w14:textId="77777777">
            <w:pPr>
              <w:pBdr/>
              <w:spacing/>
              <w:ind/>
              <w:jc w:val="center"/>
              <w:rPr>
                <w:b/>
                <w:bCs/>
                <w:sz w:val="13"/>
                <w:szCs w:val="13"/>
                <w:lang w:val="en-US" w:eastAsia="zh-CN"/>
              </w:rPr>
            </w:pPr>
            <w:r>
              <w:rPr>
                <w:b/>
                <w:bCs/>
                <w:sz w:val="13"/>
                <w:szCs w:val="13"/>
                <w:lang w:val="en-US" w:eastAsia="zh-CN"/>
              </w:rPr>
            </w:r>
            <w:r>
              <w:rPr>
                <w:b/>
                <w:bCs/>
                <w:sz w:val="13"/>
                <w:szCs w:val="13"/>
                <w:lang w:val="en-US" w:eastAsia="zh-CN"/>
              </w:rPr>
            </w:r>
          </w:p>
        </w:tc>
        <w:tc>
          <w:tcPr>
            <w:shd w:val="clear" w:color="auto" w:fill="bfbfbf" w:themeFill="background1" w:themeFillShade="BF"/>
            <w:tcBorders/>
            <w:tcW w:w="553" w:type="dxa"/>
            <w:textDirection w:val="lrTb"/>
            <w:noWrap w:val="false"/>
          </w:tcPr>
          <w:p w14:paraId="7E554DDE" w14:textId="77777777">
            <w:pPr>
              <w:pBdr/>
              <w:spacing/>
              <w:ind/>
              <w:jc w:val="center"/>
              <w:rPr>
                <w:b/>
                <w:bCs/>
                <w:sz w:val="13"/>
                <w:szCs w:val="13"/>
                <w:lang w:eastAsia="zh-CN"/>
              </w:rPr>
            </w:pPr>
            <w:r>
              <w:rPr>
                <w:b/>
                <w:bCs/>
                <w:sz w:val="13"/>
                <w:szCs w:val="13"/>
                <w:lang w:eastAsia="zh-CN"/>
              </w:rPr>
              <w:t xml:space="preserve">QTDE</w:t>
            </w:r>
            <w:r>
              <w:rPr>
                <w:b/>
                <w:bCs/>
                <w:sz w:val="13"/>
                <w:szCs w:val="13"/>
                <w:lang w:eastAsia="zh-CN"/>
              </w:rPr>
            </w:r>
          </w:p>
        </w:tc>
        <w:tc>
          <w:tcPr>
            <w:shd w:val="clear" w:color="auto" w:fill="bfbfbf" w:themeFill="background1" w:themeFillShade="BF"/>
            <w:tcBorders/>
            <w:tcW w:w="860" w:type="dxa"/>
            <w:textDirection w:val="lrTb"/>
            <w:noWrap w:val="false"/>
          </w:tcPr>
          <w:p w14:paraId="29992893" w14:textId="77777777">
            <w:pPr>
              <w:pBdr/>
              <w:spacing/>
              <w:ind/>
              <w:jc w:val="center"/>
              <w:rPr>
                <w:b/>
                <w:bCs/>
                <w:sz w:val="13"/>
                <w:szCs w:val="13"/>
                <w:lang w:val="en-US" w:eastAsia="zh-CN"/>
              </w:rPr>
            </w:pPr>
            <w:r>
              <w:rPr>
                <w:b/>
                <w:bCs/>
                <w:sz w:val="13"/>
                <w:szCs w:val="13"/>
                <w:lang w:val="en-US" w:eastAsia="zh-CN"/>
              </w:rPr>
              <w:t xml:space="preserve">MÉDIA</w:t>
            </w:r>
            <w:r>
              <w:rPr>
                <w:b/>
                <w:bCs/>
                <w:sz w:val="13"/>
                <w:szCs w:val="13"/>
                <w:lang w:val="en-US" w:eastAsia="zh-CN"/>
              </w:rPr>
            </w:r>
          </w:p>
        </w:tc>
        <w:tc>
          <w:tcPr>
            <w:shd w:val="clear" w:color="auto" w:fill="bfbfbf" w:themeFill="background1" w:themeFillShade="BF"/>
            <w:tcBorders/>
            <w:tcW w:w="1473" w:type="dxa"/>
            <w:textDirection w:val="lrTb"/>
            <w:noWrap w:val="false"/>
          </w:tcPr>
          <w:p w14:paraId="73B64AAB" w14:textId="77777777">
            <w:pPr>
              <w:pBdr/>
              <w:spacing/>
              <w:ind/>
              <w:jc w:val="center"/>
              <w:rPr>
                <w:b/>
                <w:bCs/>
                <w:sz w:val="13"/>
                <w:szCs w:val="13"/>
                <w:lang w:val="en-US" w:eastAsia="zh-CN"/>
              </w:rPr>
            </w:pPr>
            <w:r>
              <w:rPr>
                <w:b/>
                <w:bCs/>
                <w:sz w:val="13"/>
                <w:szCs w:val="13"/>
                <w:lang w:val="en-US" w:eastAsia="zh-CN"/>
              </w:rPr>
              <w:t xml:space="preserve">VALOR TOTAL</w:t>
            </w:r>
            <w:r>
              <w:rPr>
                <w:b/>
                <w:bCs/>
                <w:sz w:val="13"/>
                <w:szCs w:val="13"/>
                <w:lang w:val="en-US" w:eastAsia="zh-CN"/>
              </w:rPr>
            </w:r>
          </w:p>
        </w:tc>
      </w:tr>
      <w:tr>
        <w:trPr>
          <w:tblCellSpacing w:w="0" w:type="dxa"/>
          <w:trHeight w:val="410"/>
        </w:trPr>
        <w:tc>
          <w:tcPr>
            <w:shd w:val="clear" w:color="auto" w:fill="ffffff"/>
            <w:tcBorders/>
            <w:tcW w:w="701" w:type="dxa"/>
            <w:vAlign w:val="center"/>
            <w:textDirection w:val="lrTb"/>
            <w:noWrap w:val="false"/>
          </w:tcPr>
          <w:p w14:paraId="56C93150" w14:textId="77777777">
            <w:pPr>
              <w:pBdr/>
              <w:shd w:val="clear" w:color="auto" w:fill="ffffff"/>
              <w:spacing/>
              <w:ind/>
              <w:jc w:val="center"/>
              <w:rPr>
                <w:rFonts w:eastAsia="Liberation Sans"/>
                <w:color w:val="000000" w:themeColor="text1"/>
                <w:sz w:val="15"/>
                <w:szCs w:val="15"/>
              </w:rPr>
            </w:pPr>
            <w:r>
              <w:rPr>
                <w:rFonts w:eastAsia="Liberation Sans"/>
                <w:color w:val="000000"/>
                <w:sz w:val="15"/>
                <w:szCs w:val="15"/>
                <w:lang w:val="en-US" w:eastAsia="zh-CN" w:bidi="ar"/>
              </w:rPr>
              <w:t xml:space="preserve">1</w:t>
            </w:r>
            <w:r>
              <w:rPr>
                <w:rFonts w:eastAsia="Liberation Sans"/>
                <w:color w:val="000000" w:themeColor="text1"/>
                <w:sz w:val="15"/>
                <w:szCs w:val="15"/>
              </w:rPr>
            </w:r>
          </w:p>
        </w:tc>
        <w:tc>
          <w:tcPr>
            <w:shd w:val="clear" w:color="auto" w:fill="ffffff"/>
            <w:tcBorders/>
            <w:tcW w:w="5940" w:type="dxa"/>
            <w:vAlign w:val="center"/>
            <w:textDirection w:val="lrTb"/>
            <w:noWrap w:val="false"/>
          </w:tcPr>
          <w:p w14:paraId="7F75A6D2" w14:textId="77777777">
            <w:pPr>
              <w:pBdr/>
              <w:spacing/>
              <w:ind/>
              <w:rPr>
                <w:rFonts w:eastAsia="Liberation Sans"/>
                <w:color w:val="000000" w:themeColor="text1"/>
                <w:sz w:val="15"/>
                <w:szCs w:val="15"/>
              </w:rPr>
            </w:pPr>
            <w:r>
              <w:rPr>
                <w:rFonts w:eastAsia="Liberation Sans"/>
                <w:color w:val="000000"/>
                <w:sz w:val="15"/>
                <w:szCs w:val="15"/>
                <w:lang w:eastAsia="zh-CN" w:bidi="ar"/>
              </w:rPr>
              <w:t xml:space="preserve">SERVIÇO DE TANATOPRAXIA - ADULTO. CONFORME TERMO DE REFERÊNCIA.</w:t>
            </w:r>
            <w:r>
              <w:rPr>
                <w:rFonts w:eastAsia="Liberation Sans"/>
                <w:color w:val="000000" w:themeColor="text1"/>
                <w:sz w:val="15"/>
                <w:szCs w:val="15"/>
              </w:rPr>
            </w:r>
          </w:p>
        </w:tc>
        <w:tc>
          <w:tcPr>
            <w:shd w:val="clear" w:color="auto" w:fill="ffffff"/>
            <w:tcBorders/>
            <w:tcW w:w="546" w:type="dxa"/>
            <w:vAlign w:val="center"/>
            <w:textDirection w:val="lrTb"/>
            <w:noWrap w:val="false"/>
          </w:tcPr>
          <w:p w14:paraId="5F8DC18B"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UN </w:t>
            </w:r>
            <w:r>
              <w:rPr>
                <w:rFonts w:eastAsia="Liberation Sans"/>
                <w:color w:val="000000" w:themeColor="text1"/>
                <w:sz w:val="13"/>
                <w:szCs w:val="13"/>
              </w:rPr>
            </w:r>
          </w:p>
        </w:tc>
        <w:tc>
          <w:tcPr>
            <w:shd w:val="clear" w:color="auto" w:fill="ffffff"/>
            <w:tcBorders/>
            <w:tcW w:w="553" w:type="dxa"/>
            <w:vAlign w:val="center"/>
            <w:textDirection w:val="lrTb"/>
            <w:noWrap w:val="false"/>
          </w:tcPr>
          <w:p w14:paraId="5C46EA0E" w14:textId="77777777">
            <w:pPr>
              <w:pBdr/>
              <w:spacing/>
              <w:ind/>
              <w:jc w:val="center"/>
              <w:rPr>
                <w:rFonts w:eastAsia="Liberation Sans"/>
                <w:color w:val="000000" w:themeColor="text1"/>
                <w:sz w:val="15"/>
                <w:szCs w:val="15"/>
              </w:rPr>
            </w:pPr>
            <w:r>
              <w:rPr>
                <w:rFonts w:eastAsia="Liberation Sans"/>
                <w:color w:val="000000"/>
                <w:sz w:val="15"/>
                <w:szCs w:val="15"/>
                <w:lang w:val="en-US" w:eastAsia="zh-CN" w:bidi="ar"/>
              </w:rPr>
              <w:t xml:space="preserve">60</w:t>
            </w:r>
            <w:r>
              <w:rPr>
                <w:rFonts w:eastAsia="Liberation Sans"/>
                <w:color w:val="000000" w:themeColor="text1"/>
                <w:sz w:val="15"/>
                <w:szCs w:val="15"/>
              </w:rPr>
            </w:r>
          </w:p>
        </w:tc>
        <w:tc>
          <w:tcPr>
            <w:shd w:val="clear" w:color="auto" w:fill="ffffff"/>
            <w:tcBorders/>
            <w:tcW w:w="860" w:type="dxa"/>
            <w:vAlign w:val="center"/>
            <w:textDirection w:val="lrTb"/>
            <w:noWrap w:val="false"/>
          </w:tcPr>
          <w:p w14:paraId="278DFEE4"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R$ 2.344,</w:t>
            </w:r>
            <w:r>
              <w:rPr>
                <w:rFonts w:eastAsia="Liberation Sans"/>
                <w:color w:val="000000"/>
                <w:sz w:val="13"/>
                <w:szCs w:val="13"/>
                <w:lang w:eastAsia="zh-CN" w:bidi="ar"/>
              </w:rPr>
              <w:t xml:space="preserve">7966</w:t>
            </w:r>
            <w:r>
              <w:rPr>
                <w:rFonts w:eastAsia="Liberation Sans"/>
                <w:color w:val="000000" w:themeColor="text1"/>
                <w:sz w:val="13"/>
                <w:szCs w:val="13"/>
              </w:rPr>
            </w:r>
          </w:p>
        </w:tc>
        <w:tc>
          <w:tcPr>
            <w:shd w:val="clear" w:color="auto" w:fill="ffffff"/>
            <w:tcBorders/>
            <w:tcW w:w="1473" w:type="dxa"/>
            <w:vAlign w:val="center"/>
            <w:textDirection w:val="lrTb"/>
            <w:noWrap w:val="false"/>
          </w:tcPr>
          <w:p w14:paraId="0D784893"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R$ 140.687,80</w:t>
            </w:r>
            <w:r>
              <w:rPr>
                <w:rFonts w:eastAsia="Liberation Sans"/>
                <w:color w:val="000000" w:themeColor="text1"/>
                <w:sz w:val="13"/>
                <w:szCs w:val="13"/>
              </w:rPr>
            </w:r>
          </w:p>
        </w:tc>
      </w:tr>
      <w:tr>
        <w:trPr>
          <w:tblCellSpacing w:w="0" w:type="dxa"/>
          <w:trHeight w:val="448"/>
        </w:trPr>
        <w:tc>
          <w:tcPr>
            <w:shd w:val="clear" w:color="auto" w:fill="ffffff"/>
            <w:tcBorders/>
            <w:tcW w:w="701" w:type="dxa"/>
            <w:vAlign w:val="center"/>
            <w:textDirection w:val="lrTb"/>
            <w:noWrap w:val="false"/>
          </w:tcPr>
          <w:p w14:paraId="3548D733" w14:textId="77777777">
            <w:pPr>
              <w:pBdr/>
              <w:shd w:val="clear" w:color="auto" w:fill="ffffff"/>
              <w:spacing/>
              <w:ind/>
              <w:jc w:val="center"/>
              <w:rPr>
                <w:rFonts w:eastAsia="Liberation Sans"/>
                <w:color w:val="000000" w:themeColor="text1"/>
                <w:sz w:val="15"/>
                <w:szCs w:val="15"/>
              </w:rPr>
            </w:pPr>
            <w:r>
              <w:rPr>
                <w:rFonts w:eastAsia="Liberation Sans"/>
                <w:color w:val="000000"/>
                <w:sz w:val="15"/>
                <w:szCs w:val="15"/>
                <w:lang w:val="en-US" w:eastAsia="zh-CN" w:bidi="ar"/>
              </w:rPr>
              <w:t xml:space="preserve">2</w:t>
            </w:r>
            <w:r>
              <w:rPr>
                <w:rFonts w:eastAsia="Liberation Sans"/>
                <w:color w:val="000000" w:themeColor="text1"/>
                <w:sz w:val="15"/>
                <w:szCs w:val="15"/>
              </w:rPr>
            </w:r>
          </w:p>
        </w:tc>
        <w:tc>
          <w:tcPr>
            <w:shd w:val="clear" w:color="auto" w:fill="ffffff"/>
            <w:tcBorders/>
            <w:tcW w:w="5940" w:type="dxa"/>
            <w:vAlign w:val="center"/>
            <w:textDirection w:val="lrTb"/>
            <w:noWrap w:val="false"/>
          </w:tcPr>
          <w:p w14:paraId="46748343" w14:textId="77777777">
            <w:pPr>
              <w:pBdr/>
              <w:spacing/>
              <w:ind/>
              <w:rPr>
                <w:rFonts w:eastAsia="Liberation Sans"/>
                <w:color w:val="000000" w:themeColor="text1"/>
                <w:sz w:val="15"/>
                <w:szCs w:val="15"/>
              </w:rPr>
            </w:pPr>
            <w:r>
              <w:rPr>
                <w:rFonts w:eastAsia="Liberation Sans"/>
                <w:color w:val="000000"/>
                <w:sz w:val="15"/>
                <w:szCs w:val="15"/>
                <w:lang w:eastAsia="zh-CN" w:bidi="ar"/>
              </w:rPr>
              <w:t xml:space="preserve">SERVIÇO DE TANATOPRAXIA - INFANTIL. CONFORME TERMO DE REFERÊNCIA.</w:t>
            </w:r>
            <w:r>
              <w:rPr>
                <w:rFonts w:eastAsia="Liberation Sans"/>
                <w:color w:val="000000" w:themeColor="text1"/>
                <w:sz w:val="15"/>
                <w:szCs w:val="15"/>
              </w:rPr>
            </w:r>
          </w:p>
        </w:tc>
        <w:tc>
          <w:tcPr>
            <w:shd w:val="clear" w:color="auto" w:fill="ffffff"/>
            <w:tcBorders/>
            <w:tcW w:w="546" w:type="dxa"/>
            <w:vAlign w:val="center"/>
            <w:textDirection w:val="lrTb"/>
            <w:noWrap w:val="false"/>
          </w:tcPr>
          <w:p w14:paraId="7EDC82F8"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UN </w:t>
            </w:r>
            <w:r>
              <w:rPr>
                <w:rFonts w:eastAsia="Liberation Sans"/>
                <w:color w:val="000000" w:themeColor="text1"/>
                <w:sz w:val="13"/>
                <w:szCs w:val="13"/>
              </w:rPr>
            </w:r>
          </w:p>
        </w:tc>
        <w:tc>
          <w:tcPr>
            <w:shd w:val="clear" w:color="auto" w:fill="ffffff"/>
            <w:tcBorders/>
            <w:tcW w:w="553" w:type="dxa"/>
            <w:vAlign w:val="center"/>
            <w:textDirection w:val="lrTb"/>
            <w:noWrap w:val="false"/>
          </w:tcPr>
          <w:p w14:paraId="6C9957EE" w14:textId="77777777">
            <w:pPr>
              <w:pBdr/>
              <w:spacing/>
              <w:ind/>
              <w:jc w:val="center"/>
              <w:rPr>
                <w:rFonts w:eastAsia="Liberation Sans"/>
                <w:color w:val="000000" w:themeColor="text1"/>
                <w:sz w:val="15"/>
                <w:szCs w:val="15"/>
              </w:rPr>
            </w:pPr>
            <w:r>
              <w:rPr>
                <w:rFonts w:eastAsia="Liberation Sans"/>
                <w:color w:val="000000"/>
                <w:sz w:val="15"/>
                <w:szCs w:val="15"/>
                <w:lang w:val="en-US" w:eastAsia="zh-CN" w:bidi="ar"/>
              </w:rPr>
              <w:t xml:space="preserve">40</w:t>
            </w:r>
            <w:r>
              <w:rPr>
                <w:rFonts w:eastAsia="Liberation Sans"/>
                <w:color w:val="000000" w:themeColor="text1"/>
                <w:sz w:val="15"/>
                <w:szCs w:val="15"/>
              </w:rPr>
            </w:r>
          </w:p>
        </w:tc>
        <w:tc>
          <w:tcPr>
            <w:shd w:val="clear" w:color="auto" w:fill="ffffff"/>
            <w:tcBorders/>
            <w:tcW w:w="860" w:type="dxa"/>
            <w:vAlign w:val="center"/>
            <w:textDirection w:val="lrTb"/>
            <w:noWrap w:val="false"/>
          </w:tcPr>
          <w:p w14:paraId="51CF3EC5"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R$ 1.949,7766</w:t>
            </w:r>
            <w:r>
              <w:rPr>
                <w:rFonts w:eastAsia="Liberation Sans"/>
                <w:color w:val="000000" w:themeColor="text1"/>
                <w:sz w:val="13"/>
                <w:szCs w:val="13"/>
              </w:rPr>
            </w:r>
          </w:p>
        </w:tc>
        <w:tc>
          <w:tcPr>
            <w:shd w:val="clear" w:color="auto" w:fill="ffffff"/>
            <w:tcBorders/>
            <w:tcW w:w="1473" w:type="dxa"/>
            <w:vAlign w:val="center"/>
            <w:textDirection w:val="lrTb"/>
            <w:noWrap w:val="false"/>
          </w:tcPr>
          <w:p w14:paraId="16A7E868"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R$ 77.991,06</w:t>
            </w:r>
            <w:r>
              <w:rPr>
                <w:rFonts w:eastAsia="Liberation Sans"/>
                <w:color w:val="000000" w:themeColor="text1"/>
                <w:sz w:val="13"/>
                <w:szCs w:val="13"/>
              </w:rPr>
            </w:r>
          </w:p>
        </w:tc>
      </w:tr>
      <w:tr>
        <w:trPr>
          <w:tblCellSpacing w:w="0" w:type="dxa"/>
          <w:trHeight w:val="425"/>
        </w:trPr>
        <w:tc>
          <w:tcPr>
            <w:shd w:val="clear" w:color="auto" w:fill="ffffff"/>
            <w:tcBorders/>
            <w:tcW w:w="701" w:type="dxa"/>
            <w:vAlign w:val="center"/>
            <w:textDirection w:val="lrTb"/>
            <w:noWrap w:val="false"/>
          </w:tcPr>
          <w:p w14:paraId="7F9DFF27" w14:textId="77777777">
            <w:pPr>
              <w:pBdr/>
              <w:shd w:val="clear" w:color="auto" w:fill="ffffff"/>
              <w:spacing/>
              <w:ind/>
              <w:jc w:val="center"/>
              <w:rPr>
                <w:rFonts w:eastAsia="Liberation Sans"/>
                <w:color w:val="000000" w:themeColor="text1"/>
                <w:sz w:val="15"/>
                <w:szCs w:val="15"/>
              </w:rPr>
            </w:pPr>
            <w:r>
              <w:rPr>
                <w:rFonts w:eastAsia="Liberation Sans"/>
                <w:color w:val="000000"/>
                <w:sz w:val="15"/>
                <w:szCs w:val="15"/>
                <w:lang w:val="en-US" w:eastAsia="zh-CN" w:bidi="ar"/>
              </w:rPr>
              <w:t xml:space="preserve">3</w:t>
            </w:r>
            <w:r>
              <w:rPr>
                <w:rFonts w:eastAsia="Liberation Sans"/>
                <w:color w:val="000000" w:themeColor="text1"/>
                <w:sz w:val="15"/>
                <w:szCs w:val="15"/>
              </w:rPr>
            </w:r>
          </w:p>
        </w:tc>
        <w:tc>
          <w:tcPr>
            <w:shd w:val="clear" w:color="auto" w:fill="ffffff"/>
            <w:tcBorders/>
            <w:tcW w:w="5940" w:type="dxa"/>
            <w:vAlign w:val="center"/>
            <w:textDirection w:val="lrTb"/>
            <w:noWrap w:val="false"/>
          </w:tcPr>
          <w:p w14:paraId="6B527EBD" w14:textId="77777777">
            <w:pPr>
              <w:pBdr/>
              <w:spacing/>
              <w:ind/>
              <w:rPr>
                <w:rFonts w:eastAsia="Liberation Sans"/>
                <w:color w:val="000000" w:themeColor="text1"/>
                <w:sz w:val="15"/>
                <w:szCs w:val="15"/>
              </w:rPr>
            </w:pPr>
            <w:r>
              <w:rPr>
                <w:rFonts w:eastAsia="Liberation Sans"/>
                <w:color w:val="000000"/>
                <w:sz w:val="15"/>
                <w:szCs w:val="15"/>
                <w:lang w:eastAsia="zh-CN" w:bidi="ar"/>
              </w:rPr>
              <w:t xml:space="preserve">SERVIÇO DE TRANSLADO FUNERÁRIO TERRESTRE, POR MEIO DE VEÍCULO FUNERÁRIO APROPRIADO / ESPECIALIZADO. CONFORME TERMO DE REFERÊNCIA.</w:t>
            </w:r>
            <w:r>
              <w:rPr>
                <w:rFonts w:eastAsia="Liberation Sans"/>
                <w:color w:val="000000" w:themeColor="text1"/>
                <w:sz w:val="15"/>
                <w:szCs w:val="15"/>
              </w:rPr>
            </w:r>
          </w:p>
        </w:tc>
        <w:tc>
          <w:tcPr>
            <w:shd w:val="clear" w:color="auto" w:fill="ffffff"/>
            <w:tcBorders/>
            <w:tcW w:w="546" w:type="dxa"/>
            <w:vAlign w:val="center"/>
            <w:textDirection w:val="lrTb"/>
            <w:noWrap w:val="false"/>
          </w:tcPr>
          <w:p w14:paraId="56D5175D"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QUILOMETRO</w:t>
            </w:r>
            <w:r>
              <w:rPr>
                <w:rFonts w:eastAsia="Liberation Sans"/>
                <w:color w:val="000000" w:themeColor="text1"/>
                <w:sz w:val="13"/>
                <w:szCs w:val="13"/>
              </w:rPr>
            </w:r>
          </w:p>
        </w:tc>
        <w:tc>
          <w:tcPr>
            <w:shd w:val="clear" w:color="auto" w:fill="ffffff"/>
            <w:tcBorders/>
            <w:tcW w:w="553" w:type="dxa"/>
            <w:vAlign w:val="center"/>
            <w:textDirection w:val="lrTb"/>
            <w:noWrap w:val="false"/>
          </w:tcPr>
          <w:p w14:paraId="47EE2A9E" w14:textId="77777777">
            <w:pPr>
              <w:pBdr/>
              <w:spacing/>
              <w:ind/>
              <w:jc w:val="center"/>
              <w:rPr>
                <w:rFonts w:eastAsia="Liberation Sans"/>
                <w:color w:val="000000" w:themeColor="text1"/>
                <w:sz w:val="15"/>
                <w:szCs w:val="15"/>
              </w:rPr>
            </w:pPr>
            <w:r>
              <w:rPr>
                <w:rFonts w:eastAsia="Liberation Sans"/>
                <w:color w:val="000000"/>
                <w:sz w:val="15"/>
                <w:szCs w:val="15"/>
                <w:lang w:val="en-US" w:eastAsia="zh-CN" w:bidi="ar"/>
              </w:rPr>
              <w:t xml:space="preserve">100000</w:t>
            </w:r>
            <w:r>
              <w:rPr>
                <w:rFonts w:eastAsia="Liberation Sans"/>
                <w:color w:val="000000" w:themeColor="text1"/>
                <w:sz w:val="15"/>
                <w:szCs w:val="15"/>
              </w:rPr>
            </w:r>
          </w:p>
        </w:tc>
        <w:tc>
          <w:tcPr>
            <w:shd w:val="clear" w:color="auto" w:fill="ffffff"/>
            <w:tcBorders/>
            <w:tcW w:w="860" w:type="dxa"/>
            <w:vAlign w:val="center"/>
            <w:textDirection w:val="lrTb"/>
            <w:noWrap w:val="false"/>
          </w:tcPr>
          <w:p w14:paraId="16E5D574"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R$ 6,42</w:t>
            </w:r>
            <w:r>
              <w:rPr>
                <w:rFonts w:eastAsia="Liberation Sans"/>
                <w:color w:val="000000" w:themeColor="text1"/>
                <w:sz w:val="13"/>
                <w:szCs w:val="13"/>
              </w:rPr>
            </w:r>
          </w:p>
        </w:tc>
        <w:tc>
          <w:tcPr>
            <w:shd w:val="clear" w:color="auto" w:fill="ffffff"/>
            <w:tcBorders/>
            <w:tcW w:w="1473" w:type="dxa"/>
            <w:vAlign w:val="center"/>
            <w:textDirection w:val="lrTb"/>
            <w:noWrap w:val="false"/>
          </w:tcPr>
          <w:p w14:paraId="0A3A85C1" w14:textId="77777777">
            <w:pPr>
              <w:pBdr/>
              <w:spacing/>
              <w:ind/>
              <w:jc w:val="center"/>
              <w:rPr>
                <w:rFonts w:eastAsia="Liberation Sans"/>
                <w:color w:val="000000" w:themeColor="text1"/>
                <w:sz w:val="13"/>
                <w:szCs w:val="13"/>
              </w:rPr>
            </w:pPr>
            <w:r>
              <w:rPr>
                <w:rFonts w:eastAsia="Liberation Sans"/>
                <w:color w:val="000000"/>
                <w:sz w:val="13"/>
                <w:szCs w:val="13"/>
                <w:lang w:val="en-US" w:eastAsia="zh-CN" w:bidi="ar"/>
              </w:rPr>
              <w:t xml:space="preserve">R$ 642.000,00</w:t>
            </w:r>
            <w:r>
              <w:rPr>
                <w:rFonts w:eastAsia="Liberation Sans"/>
                <w:color w:val="000000" w:themeColor="text1"/>
                <w:sz w:val="13"/>
                <w:szCs w:val="13"/>
              </w:rPr>
            </w:r>
          </w:p>
        </w:tc>
      </w:tr>
    </w:tbl>
    <w:p w14:paraId="20BFE2D8"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7C6E45A5"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2D72BF3B" w14:textId="77777777">
      <w:pPr>
        <w:pBdr/>
        <w:spacing/>
        <w:ind/>
        <w:jc w:val="both"/>
        <w:rPr>
          <w:rFonts w:ascii="Arial" w:hAnsi="Arial" w:eastAsia="Arial" w:cs="Arial"/>
          <w:color w:val="000000"/>
        </w:rPr>
      </w:pPr>
      <w:r>
        <w:rPr>
          <w:rFonts w:ascii="Arial" w:hAnsi="Arial" w:eastAsia="Arial" w:cs="Arial"/>
          <w:color w:val="000000"/>
        </w:rPr>
        <w:t xml:space="preserve">VALOR TOTAL FINAL DO LOTE</w:t>
      </w:r>
      <w:r>
        <w:rPr>
          <w:rFonts w:ascii="Arial" w:hAnsi="Arial" w:eastAsia="Arial" w:cs="Arial"/>
          <w:color w:val="000000"/>
        </w:rPr>
      </w:r>
    </w:p>
    <w:p w14:paraId="261F10AE" w14:textId="77777777">
      <w:pPr>
        <w:pBdr/>
        <w:spacing/>
        <w:ind/>
        <w:jc w:val="both"/>
        <w:rPr>
          <w:rFonts w:ascii="Arial" w:hAnsi="Arial" w:eastAsia="Arial" w:cs="Arial"/>
          <w:color w:val="000000"/>
        </w:rPr>
      </w:pPr>
      <w:r>
        <w:rPr>
          <w:rFonts w:ascii="Arial" w:hAnsi="Arial" w:eastAsia="Arial" w:cs="Arial"/>
          <w:color w:val="000000"/>
        </w:rPr>
      </w:r>
      <w:r>
        <w:rPr>
          <w:rFonts w:ascii="Arial" w:hAnsi="Arial" w:eastAsia="Arial" w:cs="Arial"/>
          <w:color w:val="000000"/>
        </w:rPr>
      </w:r>
    </w:p>
    <w:p w14:paraId="10CF9950" w14:textId="77777777">
      <w:pPr>
        <w:pBdr/>
        <w:spacing/>
        <w:ind/>
        <w:jc w:val="both"/>
        <w:rPr>
          <w:color w:val="000000"/>
        </w:rPr>
      </w:pPr>
      <w:r>
        <w:rPr>
          <w:rFonts w:ascii="Arial" w:hAnsi="Arial" w:eastAsia="Arial" w:cs="Arial"/>
          <w:color w:val="000000"/>
        </w:rPr>
        <w:t xml:space="preserve">1 – Nos preços estão inclusos todos os custos básicos diretos, bem como quaisquer outros custos ou despesas que incidam ou venham a incidir direta ou indiretamente que porventura possam recair sobre o fornecimento.</w:t>
      </w:r>
      <w:r>
        <w:rPr>
          <w:color w:val="000000"/>
        </w:rPr>
      </w:r>
    </w:p>
    <w:p w14:paraId="07394B16" w14:textId="77777777">
      <w:pPr>
        <w:pBdr/>
        <w:spacing/>
        <w:ind/>
        <w:jc w:val="both"/>
        <w:rPr>
          <w:color w:val="000000"/>
        </w:rPr>
      </w:pPr>
      <w:r>
        <w:rPr>
          <w:rFonts w:ascii="Arial" w:hAnsi="Arial" w:eastAsia="Arial" w:cs="Arial"/>
          <w:color w:val="000000"/>
        </w:rPr>
        <w:t xml:space="preserve">2 – Declaramos que temos pleno conhecimento de todas as condições estabelecidas no termo de referência, edital e anexos, bem como do (s) local (is) de entrega do objeto licitado.</w:t>
      </w:r>
      <w:r>
        <w:rPr>
          <w:color w:val="000000"/>
        </w:rPr>
      </w:r>
    </w:p>
    <w:p w14:paraId="3C02473C" w14:textId="77777777">
      <w:pPr>
        <w:pBdr/>
        <w:spacing/>
        <w:ind/>
        <w:jc w:val="both"/>
        <w:rPr>
          <w:color w:val="000000"/>
        </w:rPr>
      </w:pPr>
      <w:r>
        <w:rPr>
          <w:rFonts w:ascii="Arial" w:hAnsi="Arial" w:eastAsia="Arial" w:cs="Arial"/>
          <w:color w:val="000000"/>
        </w:rPr>
        <w:t xml:space="preserve">3 – Declaramos que assumimos inteira e completa responsabilidade pela perfeita execução da entrega dos produtos/serviços, conforme condições estabelecidas no termo de referência, edital e anexos.</w:t>
      </w:r>
      <w:r>
        <w:rPr>
          <w:color w:val="000000"/>
        </w:rPr>
      </w:r>
    </w:p>
    <w:p w14:paraId="3E73A423" w14:textId="77777777">
      <w:pPr>
        <w:pBdr/>
        <w:spacing/>
        <w:ind/>
        <w:jc w:val="both"/>
        <w:rPr>
          <w:color w:val="000000"/>
        </w:rPr>
      </w:pPr>
      <w:r>
        <w:rPr>
          <w:rFonts w:ascii="Arial" w:hAnsi="Arial" w:eastAsia="Arial" w:cs="Arial"/>
          <w:color w:val="000000"/>
        </w:rPr>
        <w:t xml:space="preserve">4 – Declaramos que possuímos total capacidade técnica para atendermos ao objeto solicitado.</w:t>
      </w:r>
      <w:r>
        <w:rPr>
          <w:color w:val="000000"/>
        </w:rPr>
      </w:r>
    </w:p>
    <w:p w14:paraId="756C964C" w14:textId="77777777">
      <w:pPr>
        <w:pBdr/>
        <w:spacing/>
        <w:ind/>
        <w:jc w:val="both"/>
        <w:rPr>
          <w:color w:val="000000"/>
        </w:rPr>
      </w:pPr>
      <w:r>
        <w:rPr>
          <w:rFonts w:ascii="Arial" w:hAnsi="Arial" w:eastAsia="Arial" w:cs="Arial"/>
          <w:color w:val="000000"/>
        </w:rPr>
        <w:t xml:space="preserve">5 – O prazo de validade da proposta é de 120 (cento e vinte) dias corridos, contados da entrega dos envelopes “PROPOSTA DE PREÇOS”.</w:t>
      </w:r>
      <w:r>
        <w:rPr>
          <w:color w:val="000000"/>
        </w:rPr>
      </w:r>
    </w:p>
    <w:p w14:paraId="61CEDBAA" w14:textId="77777777">
      <w:pPr>
        <w:pBdr/>
        <w:spacing/>
        <w:ind/>
        <w:jc w:val="both"/>
        <w:rPr>
          <w:color w:val="000000"/>
        </w:rPr>
      </w:pPr>
      <w:r>
        <w:rPr>
          <w:rFonts w:ascii="Arial" w:hAnsi="Arial" w:eastAsia="Arial" w:cs="Arial"/>
          <w:color w:val="000000"/>
        </w:rPr>
        <w:t xml:space="preserve">6 – O prazo de realização dos serviços/entrega do produto é</w:t>
      </w:r>
      <w:r>
        <w:rPr>
          <w:rFonts w:ascii="Arial" w:hAnsi="Arial" w:eastAsia="Arial" w:cs="Arial"/>
          <w:b/>
          <w:color w:val="000000"/>
        </w:rPr>
        <w:t xml:space="preserve"> </w:t>
      </w:r>
      <w:r>
        <w:rPr>
          <w:rFonts w:ascii="Arial" w:hAnsi="Arial" w:eastAsia="Arial" w:cs="Arial"/>
          <w:color w:val="000000"/>
        </w:rPr>
        <w:t xml:space="preserve">de acordo com o previsto contida no edital e seus anexos.</w:t>
      </w:r>
      <w:r>
        <w:rPr>
          <w:color w:val="000000"/>
        </w:rPr>
      </w:r>
    </w:p>
    <w:p w14:paraId="57CE04EA" w14:textId="77777777">
      <w:pPr>
        <w:pBdr/>
        <w:spacing/>
        <w:ind/>
        <w:jc w:val="both"/>
        <w:rPr/>
      </w:pPr>
      <w:r>
        <w:rPr>
          <w:rFonts w:ascii="Arial" w:hAnsi="Arial" w:eastAsia="Arial" w:cs="Arial"/>
        </w:rPr>
        <w:t xml:space="preserve">7 – Apresentamos, conforme exigido, nossos dados bancários:</w:t>
      </w:r>
      <w:r/>
    </w:p>
    <w:p w14:paraId="159F5E07"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1DE6DDEE" w14:textId="77777777">
      <w:pPr>
        <w:pBdr/>
        <w:spacing/>
        <w:ind/>
        <w:jc w:val="both"/>
        <w:rPr/>
      </w:pPr>
      <w:r>
        <w:rPr>
          <w:rFonts w:ascii="Arial" w:hAnsi="Arial" w:eastAsia="Arial" w:cs="Arial"/>
        </w:rPr>
        <w:t xml:space="preserve">NOME DO BANCO ......................... N° ...............</w:t>
      </w:r>
      <w:r/>
    </w:p>
    <w:p w14:paraId="3CDCAD75" w14:textId="77777777">
      <w:pPr>
        <w:pBdr/>
        <w:spacing/>
        <w:ind/>
        <w:jc w:val="both"/>
        <w:rPr/>
      </w:pPr>
      <w:r>
        <w:rPr>
          <w:rFonts w:ascii="Arial" w:hAnsi="Arial" w:eastAsia="Arial" w:cs="Arial"/>
        </w:rPr>
        <w:t xml:space="preserve">NOME DA AGÊNCIA ....................... N° ..............</w:t>
      </w:r>
      <w:r/>
    </w:p>
    <w:p w14:paraId="78F72B9B" w14:textId="77777777">
      <w:pPr>
        <w:pBdr/>
        <w:spacing/>
        <w:ind/>
        <w:jc w:val="both"/>
        <w:rPr/>
      </w:pPr>
      <w:r>
        <w:rPr>
          <w:rFonts w:ascii="Arial" w:hAnsi="Arial" w:eastAsia="Arial" w:cs="Arial"/>
        </w:rPr>
        <w:t xml:space="preserve">NÚMERO DA CONTA ..........................................</w:t>
      </w:r>
      <w:r/>
    </w:p>
    <w:p w14:paraId="3D50CBCD"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5FA73FED" w14:textId="77777777">
      <w:pPr>
        <w:pBdr/>
        <w:spacing/>
        <w:ind/>
        <w:jc w:val="both"/>
        <w:rPr/>
      </w:pPr>
      <w:r>
        <w:rPr>
          <w:rFonts w:ascii="Arial" w:hAnsi="Arial" w:eastAsia="Arial" w:cs="Arial"/>
        </w:rPr>
        <w:t xml:space="preserve">Local/data.................................................................................</w:t>
      </w:r>
      <w:r/>
    </w:p>
    <w:p w14:paraId="2E4C59BD" w14:textId="77777777">
      <w:pPr>
        <w:pBdr/>
        <w:spacing/>
        <w:ind/>
        <w:jc w:val="center"/>
        <w:rPr>
          <w:rFonts w:ascii="Arial" w:hAnsi="Arial" w:eastAsia="Arial" w:cs="Arial"/>
        </w:rPr>
      </w:pPr>
      <w:r>
        <w:rPr>
          <w:rFonts w:ascii="Arial" w:hAnsi="Arial" w:eastAsia="Arial" w:cs="Arial"/>
        </w:rPr>
      </w:r>
      <w:r>
        <w:rPr>
          <w:rFonts w:ascii="Arial" w:hAnsi="Arial" w:eastAsia="Arial" w:cs="Arial"/>
        </w:rPr>
      </w:r>
    </w:p>
    <w:p w14:paraId="421B7E0D" w14:textId="77777777">
      <w:pPr>
        <w:pBdr/>
        <w:spacing/>
        <w:ind/>
        <w:jc w:val="center"/>
        <w:rPr/>
      </w:pPr>
      <w:r>
        <w:rPr>
          <w:rFonts w:ascii="Arial" w:hAnsi="Arial" w:eastAsia="Arial" w:cs="Arial"/>
        </w:rPr>
        <w:t xml:space="preserve">(Assinatura do Representante Legal pela Empresa)</w:t>
      </w:r>
      <w:r/>
    </w:p>
    <w:p w14:paraId="33BFA31F" w14:textId="77777777">
      <w:pPr>
        <w:pBdr/>
        <w:spacing/>
        <w:ind/>
        <w:jc w:val="center"/>
        <w:rPr>
          <w:rFonts w:ascii="Arial" w:hAnsi="Arial" w:eastAsia="Arial" w:cs="Arial"/>
        </w:rPr>
      </w:pPr>
      <w:r>
        <w:rPr>
          <w:rFonts w:ascii="Arial" w:hAnsi="Arial" w:eastAsia="Arial" w:cs="Arial"/>
        </w:rPr>
        <w:t xml:space="preserve">Nome/Cargo e Carimbo CNPJ</w:t>
      </w:r>
      <w:r>
        <w:rPr>
          <w:rFonts w:ascii="Arial" w:hAnsi="Arial" w:eastAsia="Arial" w:cs="Arial"/>
        </w:rPr>
      </w:r>
    </w:p>
    <w:p w14:paraId="59E1B367" w14:textId="77777777">
      <w:pPr>
        <w:pBdr/>
        <w:spacing/>
        <w:ind/>
        <w:jc w:val="center"/>
        <w:rPr>
          <w:rFonts w:ascii="Arial" w:hAnsi="Arial" w:eastAsia="Arial" w:cs="Arial"/>
        </w:rPr>
      </w:pPr>
      <w:r>
        <w:rPr>
          <w:rFonts w:ascii="Arial" w:hAnsi="Arial" w:eastAsia="Arial" w:cs="Arial"/>
        </w:rPr>
      </w:r>
      <w:r>
        <w:rPr>
          <w:rFonts w:ascii="Arial" w:hAnsi="Arial" w:eastAsia="Arial" w:cs="Arial"/>
        </w:rPr>
      </w:r>
    </w:p>
    <w:p w14:paraId="42AC59C6" w14:textId="77777777">
      <w:pPr>
        <w:pBdr/>
        <w:spacing/>
        <w:ind/>
        <w:jc w:val="center"/>
        <w:rPr>
          <w:rFonts w:ascii="Arial" w:hAnsi="Arial" w:eastAsia="Arial" w:cs="Arial"/>
        </w:rPr>
      </w:pPr>
      <w:r>
        <w:rPr>
          <w:rFonts w:ascii="Arial" w:hAnsi="Arial" w:eastAsia="Arial" w:cs="Arial"/>
        </w:rPr>
      </w:r>
      <w:r>
        <w:rPr>
          <w:rFonts w:ascii="Arial" w:hAnsi="Arial" w:eastAsia="Arial" w:cs="Arial"/>
        </w:rPr>
      </w:r>
    </w:p>
    <w:p w14:paraId="68FCD539" w14:textId="77777777">
      <w:pPr>
        <w:pBdr/>
        <w:spacing/>
        <w:ind/>
        <w:jc w:val="center"/>
        <w:rPr>
          <w:rFonts w:ascii="Arial" w:hAnsi="Arial" w:eastAsia="Arial" w:cs="Arial"/>
        </w:rPr>
      </w:pPr>
      <w:r>
        <w:rPr>
          <w:rFonts w:ascii="Arial" w:hAnsi="Arial" w:eastAsia="Arial" w:cs="Arial"/>
        </w:rPr>
      </w:r>
      <w:r>
        <w:rPr>
          <w:rFonts w:ascii="Arial" w:hAnsi="Arial" w:eastAsia="Arial" w:cs="Arial"/>
        </w:rPr>
      </w:r>
    </w:p>
    <w:p w14:paraId="468CD2CF" w14:textId="77777777">
      <w:pPr>
        <w:pBdr/>
        <w:spacing/>
        <w:ind/>
        <w:jc w:val="center"/>
        <w:rPr>
          <w:rFonts w:ascii="Arial" w:hAnsi="Arial" w:eastAsia="Arial" w:cs="Arial"/>
        </w:rPr>
      </w:pPr>
      <w:r>
        <w:rPr>
          <w:rFonts w:ascii="Arial" w:hAnsi="Arial" w:eastAsia="Arial" w:cs="Arial"/>
        </w:rPr>
      </w:r>
      <w:r>
        <w:rPr>
          <w:rFonts w:ascii="Arial" w:hAnsi="Arial" w:eastAsia="Arial" w:cs="Arial"/>
        </w:rPr>
      </w:r>
    </w:p>
    <w:p w14:paraId="238026A5" w14:textId="77777777">
      <w:pPr>
        <w:pBdr/>
        <w:spacing/>
        <w:ind/>
        <w:jc w:val="center"/>
        <w:rPr>
          <w:rFonts w:ascii="Arial" w:hAnsi="Arial" w:eastAsia="Arial" w:cs="Arial"/>
        </w:rPr>
      </w:pPr>
      <w:r>
        <w:rPr>
          <w:rFonts w:ascii="Arial" w:hAnsi="Arial" w:eastAsia="Arial" w:cs="Arial"/>
        </w:rPr>
      </w:r>
      <w:r>
        <w:rPr>
          <w:rFonts w:ascii="Arial" w:hAnsi="Arial" w:eastAsia="Arial" w:cs="Arial"/>
        </w:rPr>
      </w:r>
    </w:p>
    <w:p w14:paraId="06573A72" w14:textId="77777777">
      <w:pPr>
        <w:pBdr>
          <w:top w:val="single" w:color="000000" w:sz="4" w:space="1"/>
          <w:left w:val="single" w:color="000000" w:sz="4" w:space="4"/>
          <w:bottom w:val="single" w:color="000000" w:sz="4" w:space="1"/>
          <w:right w:val="single" w:color="000000" w:sz="4" w:space="4"/>
        </w:pBdr>
        <w:tabs>
          <w:tab w:val="left" w:leader="none" w:pos="8576"/>
          <w:tab w:val="left" w:leader="none" w:pos="10419"/>
        </w:tabs>
        <w:spacing/>
        <w:ind/>
        <w:jc w:val="center"/>
        <w:rPr>
          <w:rFonts w:ascii="Arial" w:hAnsi="Arial" w:eastAsia="Arial" w:cs="Arial"/>
          <w:b/>
        </w:rPr>
      </w:pPr>
      <w:r>
        <w:rPr>
          <w:rFonts w:ascii="Arial" w:hAnsi="Arial" w:eastAsia="Arial" w:cs="Arial"/>
          <w:b/>
        </w:rPr>
        <w:t xml:space="preserve">PAPEL TIMBRADO DA EMPRESA LICITANTE</w:t>
      </w:r>
      <w:r>
        <w:rPr>
          <w:rFonts w:ascii="Arial" w:hAnsi="Arial" w:eastAsia="Arial" w:cs="Arial"/>
          <w:b/>
        </w:rPr>
      </w:r>
    </w:p>
    <w:p w14:paraId="5B69EB39"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0971D250" w14:textId="77777777">
      <w:pPr>
        <w:pStyle w:val="882"/>
        <w:pBdr/>
        <w:spacing w:after="0" w:before="0"/>
        <w:ind/>
        <w:jc w:val="center"/>
        <w:rPr>
          <w:sz w:val="20"/>
          <w:szCs w:val="20"/>
          <w:lang w:val="pt-BR"/>
        </w:rPr>
      </w:pPr>
      <w:r/>
      <w:bookmarkStart w:id="48" w:name="_heading=h.rd3mtgz7xzk4"/>
      <w:r/>
      <w:bookmarkEnd w:id="48"/>
      <w:r>
        <w:rPr>
          <w:sz w:val="20"/>
          <w:szCs w:val="20"/>
          <w:lang w:val="pt-BR"/>
        </w:rPr>
        <w:t xml:space="preserve">ANEXO V: MODELO CREDENCIAMENTO E COMPROVAÇÕES COMPLEMENTARES ESPECIAIS.</w:t>
      </w:r>
      <w:r>
        <w:rPr>
          <w:sz w:val="20"/>
          <w:szCs w:val="20"/>
          <w:lang w:val="pt-BR"/>
        </w:rPr>
      </w:r>
    </w:p>
    <w:p w14:paraId="6E9DEA0D"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3B28EE42" w14:textId="77777777">
      <w:pPr>
        <w:pBdr/>
        <w:spacing/>
        <w:ind/>
        <w:jc w:val="both"/>
        <w:rPr>
          <w:rFonts w:ascii="Arial" w:hAnsi="Arial" w:eastAsia="Arial" w:cs="Arial"/>
          <w:b/>
        </w:rPr>
      </w:pPr>
      <w:r>
        <w:rPr>
          <w:rFonts w:ascii="Arial" w:hAnsi="Arial" w:eastAsia="Arial" w:cs="Arial"/>
          <w:b/>
        </w:rPr>
        <w:t xml:space="preserve">À</w:t>
      </w:r>
      <w:r>
        <w:rPr>
          <w:rFonts w:ascii="Arial" w:hAnsi="Arial" w:eastAsia="Arial" w:cs="Arial"/>
          <w:b/>
        </w:rPr>
      </w:r>
    </w:p>
    <w:p w14:paraId="2C49256E" w14:textId="77777777">
      <w:pPr>
        <w:pBdr/>
        <w:spacing/>
        <w:ind/>
        <w:jc w:val="both"/>
        <w:rPr>
          <w:rFonts w:ascii="Arial" w:hAnsi="Arial" w:eastAsia="Arial" w:cs="Arial"/>
          <w:b/>
        </w:rPr>
      </w:pPr>
      <w:r>
        <w:rPr>
          <w:rFonts w:ascii="Arial" w:hAnsi="Arial" w:eastAsia="Arial" w:cs="Arial"/>
          <w:b/>
        </w:rPr>
        <w:t xml:space="preserve">PREFEITURA MUNICIPAL DE RONDONÓPOLIS-MT.</w:t>
      </w:r>
      <w:r>
        <w:rPr>
          <w:rFonts w:ascii="Arial" w:hAnsi="Arial" w:eastAsia="Arial" w:cs="Arial"/>
          <w:b/>
        </w:rPr>
      </w:r>
    </w:p>
    <w:p w14:paraId="0D2DC36E" w14:textId="77777777">
      <w:pPr>
        <w:pBdr/>
        <w:spacing/>
        <w:ind/>
        <w:jc w:val="both"/>
        <w:rPr>
          <w:rFonts w:ascii="Arial" w:hAnsi="Arial" w:eastAsia="Arial" w:cs="Arial"/>
          <w:b/>
        </w:rPr>
      </w:pPr>
      <w:r>
        <w:rPr>
          <w:rFonts w:ascii="Arial" w:hAnsi="Arial" w:eastAsia="Arial" w:cs="Arial"/>
          <w:b/>
        </w:rPr>
        <w:t xml:space="preserve">REF.: EDITAL DE LICITAÇÃO - MODALIDADE PREGÃO ___/2026.</w:t>
      </w:r>
      <w:r>
        <w:rPr>
          <w:rFonts w:ascii="Arial" w:hAnsi="Arial" w:eastAsia="Arial" w:cs="Arial"/>
          <w:b/>
        </w:rPr>
      </w:r>
    </w:p>
    <w:p w14:paraId="2FAF1DF7" w14:textId="77777777">
      <w:pPr>
        <w:pBdr/>
        <w:spacing/>
        <w:ind/>
        <w:jc w:val="both"/>
        <w:rPr>
          <w:rFonts w:ascii="Arial" w:hAnsi="Arial" w:eastAsia="Arial" w:cs="Arial"/>
          <w:b/>
        </w:rPr>
      </w:pPr>
      <w:r>
        <w:rPr>
          <w:rFonts w:ascii="Arial" w:hAnsi="Arial" w:eastAsia="Arial" w:cs="Arial"/>
          <w:b/>
        </w:rPr>
        <w:t xml:space="preserve">TIPO MENOR PREÇO POR LOTE.</w:t>
      </w:r>
      <w:r>
        <w:rPr>
          <w:rFonts w:ascii="Arial" w:hAnsi="Arial" w:eastAsia="Arial" w:cs="Arial"/>
          <w:b/>
        </w:rPr>
      </w:r>
    </w:p>
    <w:p w14:paraId="6C1D5FC0"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3DEF2C7B" w14:textId="77777777">
      <w:pPr>
        <w:pBdr/>
        <w:spacing/>
        <w:ind/>
        <w:jc w:val="both"/>
        <w:rPr>
          <w:rFonts w:ascii="Arial" w:hAnsi="Arial" w:eastAsia="Arial" w:cs="Arial"/>
          <w:b/>
        </w:rPr>
      </w:pPr>
      <w:r>
        <w:rPr>
          <w:rFonts w:ascii="Arial" w:hAnsi="Arial" w:eastAsia="Arial" w:cs="Arial"/>
          <w:b/>
        </w:rPr>
        <w:t xml:space="preserve">(Razão Social da Licitante) ____________________, inscrita no CNPJ/MF sob o n.º __________, sediada à_____________________________________________, por intermédio de seu representante legal o(a) Sr(a)__________________________, portador(a) da Carteira de I</w:t>
      </w:r>
      <w:r>
        <w:rPr>
          <w:rFonts w:ascii="Arial" w:hAnsi="Arial" w:eastAsia="Arial" w:cs="Arial"/>
          <w:b/>
        </w:rPr>
        <w:t xml:space="preserve">dentidade n.º_________________ e do CPF n.º__________________, declara como nosso representante legal na Licitação em referência, podendo rubricar a documentação de Habilitação e das Propostas, manifestar, dar lances verbais, prestar todos os esclareciment</w:t>
      </w:r>
      <w:r>
        <w:rPr>
          <w:rFonts w:ascii="Arial" w:hAnsi="Arial" w:eastAsia="Arial" w:cs="Arial"/>
          <w:b/>
        </w:rPr>
        <w:t xml:space="preserve">os à nossa Proposta, interpor recursos, desistir de prazos e recursos, enfim, praticar todos os atos necessários ao fiel cumprimento do presente Credenciamento.(No caso de indicar representante). </w:t>
      </w:r>
      <w:r>
        <w:rPr>
          <w:rFonts w:ascii="Arial" w:hAnsi="Arial" w:eastAsia="Arial" w:cs="Arial"/>
          <w:b/>
        </w:rPr>
      </w:r>
    </w:p>
    <w:p w14:paraId="1B8A3B89" w14:textId="77777777">
      <w:pPr>
        <w:pBdr/>
        <w:spacing/>
        <w:ind/>
        <w:jc w:val="both"/>
        <w:rPr>
          <w:rFonts w:ascii="Arial" w:hAnsi="Arial" w:eastAsia="Arial" w:cs="Arial"/>
          <w:b/>
        </w:rPr>
      </w:pPr>
      <w:r>
        <w:rPr>
          <w:rFonts w:ascii="Arial" w:hAnsi="Arial" w:eastAsia="Arial" w:cs="Arial"/>
          <w:b/>
        </w:rPr>
      </w:r>
      <w:r>
        <w:rPr>
          <w:rFonts w:ascii="Arial" w:hAnsi="Arial" w:eastAsia="Arial" w:cs="Arial"/>
          <w:b/>
        </w:rPr>
      </w:r>
    </w:p>
    <w:p w14:paraId="211AA9DF" w14:textId="77777777">
      <w:pPr>
        <w:pBdr/>
        <w:spacing/>
        <w:ind/>
        <w:jc w:val="both"/>
        <w:rPr>
          <w:rFonts w:ascii="Arial" w:hAnsi="Arial" w:eastAsia="Arial" w:cs="Arial"/>
          <w:b/>
        </w:rPr>
      </w:pPr>
      <w:r>
        <w:rPr>
          <w:rFonts w:ascii="Arial" w:hAnsi="Arial" w:eastAsia="Arial" w:cs="Arial"/>
          <w:b/>
        </w:rPr>
        <w:t xml:space="preserve">13.7.1.1.</w:t>
      </w:r>
      <w:r>
        <w:rPr>
          <w:rFonts w:ascii="Arial" w:hAnsi="Arial" w:eastAsia="Arial" w:cs="Arial"/>
        </w:rPr>
        <w:t xml:space="preserve"> Está ciente e concorda com as condições contidas no edital e seus anexos, bem como de que a proposta apresentada compreende a integralidade dos custos para atendimento dos direitos trabalhistas assegurados na Constituição Federal, nas l</w:t>
      </w:r>
      <w:r>
        <w:rPr>
          <w:rFonts w:ascii="Arial" w:hAnsi="Arial" w:eastAsia="Arial" w:cs="Arial"/>
        </w:rPr>
        <w:t xml:space="preserve">eis trabalhistas, nas normas infra legais, nas convenções coletivas de trabalho e nos termos de ajustamento de conduta vigentes na data de sua entrega em definitivo e que cumpre plenamente os requisitos de habilitação definidos no instrumento convocatório;</w:t>
      </w:r>
      <w:r>
        <w:rPr>
          <w:rFonts w:ascii="Arial" w:hAnsi="Arial" w:eastAsia="Arial" w:cs="Arial"/>
          <w:b/>
        </w:rPr>
      </w:r>
    </w:p>
    <w:p w14:paraId="16F3A535" w14:textId="77777777">
      <w:pPr>
        <w:pBdr/>
        <w:spacing/>
        <w:ind/>
        <w:jc w:val="both"/>
        <w:rPr>
          <w:rFonts w:ascii="Arial" w:hAnsi="Arial" w:eastAsia="Arial" w:cs="Arial"/>
        </w:rPr>
      </w:pPr>
      <w:r>
        <w:rPr>
          <w:rFonts w:ascii="Arial" w:hAnsi="Arial" w:eastAsia="Arial" w:cs="Arial"/>
          <w:b/>
        </w:rPr>
        <w:t xml:space="preserve">13.7.1.2.</w:t>
      </w:r>
      <w:r>
        <w:rPr>
          <w:rFonts w:ascii="Arial" w:hAnsi="Arial" w:eastAsia="Arial" w:cs="Arial"/>
        </w:rPr>
        <w:t xml:space="preserve"> Não emprega menor de 18 anos em trabalho noturno, perigoso ou insalubre e não emprega menor de 16 anos, em qualquer trabalho, salvo menor, a partir de 14 anos, na condição de aprendiz, nos termos do </w:t>
      </w:r>
      <w:hyperlink r:id="rId38" w:tooltip="https://www.planalto.gov.br/ccivil_03/constituicao/constituicaocompilado.htm#art7" w:anchor="art7" w:history="1">
        <w:r>
          <w:rPr>
            <w:rFonts w:ascii="Arial" w:hAnsi="Arial" w:eastAsia="Arial" w:cs="Arial"/>
          </w:rPr>
          <w:t xml:space="preserve">artigo 7°, XXXIII da Constituição</w:t>
        </w:r>
      </w:hyperlink>
      <w:r>
        <w:rPr>
          <w:rFonts w:ascii="Arial" w:hAnsi="Arial" w:eastAsia="Arial" w:cs="Arial"/>
        </w:rPr>
        <w:t xml:space="preserve"> Federal, bem como, no artigo 68, inciso VI, da Lei nº 14.133/2021;</w:t>
      </w:r>
      <w:r>
        <w:rPr>
          <w:rFonts w:ascii="Arial" w:hAnsi="Arial" w:eastAsia="Arial" w:cs="Arial"/>
        </w:rPr>
      </w:r>
    </w:p>
    <w:p w14:paraId="1C15A9E3" w14:textId="77777777">
      <w:pPr>
        <w:pBdr/>
        <w:spacing/>
        <w:ind/>
        <w:jc w:val="both"/>
        <w:rPr/>
      </w:pPr>
      <w:r>
        <w:rPr>
          <w:rFonts w:ascii="Arial" w:hAnsi="Arial" w:eastAsia="Arial" w:cs="Arial"/>
          <w:b/>
        </w:rPr>
        <w:t xml:space="preserve">13.7.1.3.</w:t>
      </w:r>
      <w:r>
        <w:rPr>
          <w:rFonts w:ascii="Arial" w:hAnsi="Arial" w:eastAsia="Arial" w:cs="Arial"/>
        </w:rPr>
        <w:t xml:space="preserve"> Não possui empregados executando trabalho degradante ou forçado, observando o disposto nos </w:t>
      </w:r>
      <w:hyperlink r:id="rId39" w:tooltip="https://www.planalto.gov.br/ccivil_03/constituicao/constituicaocompilado.htm" w:history="1">
        <w:r>
          <w:rPr>
            <w:rFonts w:ascii="Arial" w:hAnsi="Arial" w:eastAsia="Arial" w:cs="Arial"/>
            <w:color w:val="000000"/>
          </w:rPr>
          <w:t xml:space="preserve">incisos III e IV do art. 1º e no inciso III do art. 5º da Constituição Federal</w:t>
        </w:r>
      </w:hyperlink>
      <w:r>
        <w:rPr>
          <w:rFonts w:ascii="Arial" w:hAnsi="Arial" w:eastAsia="Arial" w:cs="Arial"/>
          <w:color w:val="000000"/>
        </w:rPr>
        <w:t xml:space="preserve">, </w:t>
      </w:r>
      <w:r>
        <w:rPr>
          <w:rFonts w:ascii="Arial" w:hAnsi="Arial" w:eastAsia="Arial" w:cs="Arial"/>
        </w:rPr>
        <w:t xml:space="preserve">bem como no art. 14, inciso VI da Lei nº 14.133/2021.</w:t>
      </w:r>
      <w:r/>
    </w:p>
    <w:p w14:paraId="062335D2" w14:textId="77777777">
      <w:pPr>
        <w:pBdr/>
        <w:spacing/>
        <w:ind/>
        <w:jc w:val="both"/>
        <w:rPr>
          <w:rFonts w:ascii="Arial" w:hAnsi="Arial" w:eastAsia="Arial" w:cs="Arial"/>
        </w:rPr>
      </w:pPr>
      <w:r>
        <w:rPr>
          <w:rFonts w:ascii="Arial" w:hAnsi="Arial" w:eastAsia="Arial" w:cs="Arial"/>
          <w:b/>
        </w:rPr>
        <w:t xml:space="preserve">13.7.1.4.</w:t>
      </w:r>
      <w:r>
        <w:rPr>
          <w:rFonts w:ascii="Arial" w:hAnsi="Arial" w:eastAsia="Arial" w:cs="Arial"/>
        </w:rPr>
        <w:t xml:space="preserve"> Cumpre as exigências de reserva de cargos para pessoa com deficiência e para reabilitado da Previdência Social, previstas em lei e em outras normas específicas;</w:t>
      </w:r>
      <w:r>
        <w:rPr>
          <w:rFonts w:ascii="Arial" w:hAnsi="Arial" w:eastAsia="Arial" w:cs="Arial"/>
        </w:rPr>
      </w:r>
    </w:p>
    <w:p w14:paraId="0FD4704A" w14:textId="77777777">
      <w:pPr>
        <w:pBdr/>
        <w:spacing/>
        <w:ind/>
        <w:jc w:val="both"/>
        <w:rPr>
          <w:rFonts w:ascii="Arial" w:hAnsi="Arial" w:eastAsia="Arial" w:cs="Arial"/>
        </w:rPr>
      </w:pPr>
      <w:r>
        <w:rPr>
          <w:rFonts w:ascii="Arial" w:hAnsi="Arial" w:eastAsia="Arial" w:cs="Arial"/>
          <w:b/>
        </w:rPr>
        <w:t xml:space="preserve">13.7.1.5.</w:t>
      </w:r>
      <w:r>
        <w:rPr>
          <w:rFonts w:ascii="Arial" w:hAnsi="Arial" w:eastAsia="Arial" w:cs="Arial"/>
        </w:rPr>
        <w:t xml:space="preserve"> Não possui em seu quadro de pessoal e societário, servidor público do Pod</w:t>
      </w:r>
      <w:r>
        <w:rPr>
          <w:rFonts w:ascii="Arial" w:hAnsi="Arial" w:eastAsia="Arial" w:cs="Arial"/>
        </w:rPr>
        <w:t xml:space="preserve">er Executivo Estadual exercendo funções de gerência ou administração, conforme art. 1, inciso X da Lei Complementar Estadual nº 04/1990, ou servidor do Órgão/Entidade contratante em qualquer função, nos termos do art. 9º, §1º da Lei Federal nº 14.133/2021;</w:t>
      </w:r>
      <w:r>
        <w:rPr>
          <w:rFonts w:ascii="Arial" w:hAnsi="Arial" w:eastAsia="Arial" w:cs="Arial"/>
        </w:rPr>
      </w:r>
    </w:p>
    <w:p w14:paraId="63E486CB" w14:textId="77777777">
      <w:pPr>
        <w:pBdr/>
        <w:spacing/>
        <w:ind/>
        <w:jc w:val="both"/>
        <w:rPr>
          <w:rFonts w:ascii="Arial" w:hAnsi="Arial" w:eastAsia="Arial" w:cs="Arial"/>
          <w:b/>
        </w:rPr>
      </w:pPr>
      <w:r>
        <w:rPr>
          <w:rFonts w:ascii="Arial" w:hAnsi="Arial" w:eastAsia="Arial" w:cs="Arial"/>
        </w:rPr>
        <w:t xml:space="preserve">13.7.1.6. O licitante enquadrado como microempresa, empresa de pequeno porte ou sociedade cooperativa deverá declarar, que cumpre os requisitos estabelecidos no </w:t>
      </w:r>
      <w:hyperlink r:id="rId40" w:tooltip="https://www.planalto.gov.br/ccivil_03/leis/lcp/lcp123.htm#art3" w:anchor="art3" w:history="1">
        <w:r>
          <w:rPr>
            <w:rFonts w:ascii="Arial" w:hAnsi="Arial" w:eastAsia="Arial" w:cs="Arial"/>
          </w:rPr>
          <w:t xml:space="preserve">artigo 3° da Lei Complementar nº 123, de 2006</w:t>
        </w:r>
      </w:hyperlink>
      <w:r>
        <w:rPr>
          <w:rFonts w:ascii="Arial" w:hAnsi="Arial" w:eastAsia="Arial" w:cs="Arial"/>
        </w:rPr>
        <w:t xml:space="preserve">, estando apto a usufruir do tratamento favorecido estabelecido em seus </w:t>
      </w:r>
      <w:hyperlink r:id="rId41" w:tooltip="https://www.planalto.gov.br/ccivil_03/leis/lcp/lcp123.htm#art42" w:anchor="art42" w:history="1">
        <w:r>
          <w:rPr>
            <w:rFonts w:ascii="Arial" w:hAnsi="Arial" w:eastAsia="Arial" w:cs="Arial"/>
          </w:rPr>
          <w:t xml:space="preserve">arts. 42 a 49</w:t>
        </w:r>
      </w:hyperlink>
      <w:r>
        <w:rPr>
          <w:rFonts w:ascii="Arial" w:hAnsi="Arial" w:eastAsia="Arial" w:cs="Arial"/>
        </w:rPr>
        <w:t xml:space="preserve">, observado o disposto nos </w:t>
      </w:r>
      <w:hyperlink r:id="rId42" w:tooltip="http://www.planalto.gov.br/ccivil_03/_ato2019-2022/2021/lei/L14133.htm#art4§1" w:anchor="art4§1" w:history="1">
        <w:r>
          <w:rPr>
            <w:rFonts w:ascii="Arial" w:hAnsi="Arial" w:eastAsia="Arial" w:cs="Arial"/>
          </w:rPr>
          <w:t xml:space="preserve">§§ 1º ao 3º do art. 4º, da Lei n.º 14.133, de 2021;</w:t>
        </w:r>
      </w:hyperlink>
      <w:r/>
      <w:r>
        <w:rPr>
          <w:rFonts w:ascii="Arial" w:hAnsi="Arial" w:eastAsia="Arial" w:cs="Arial"/>
          <w:b/>
        </w:rPr>
      </w:r>
    </w:p>
    <w:p w14:paraId="511417A0" w14:textId="77777777">
      <w:pPr>
        <w:pBdr/>
        <w:spacing/>
        <w:ind/>
        <w:jc w:val="both"/>
        <w:rPr>
          <w:rFonts w:ascii="Arial" w:hAnsi="Arial" w:eastAsia="Arial" w:cs="Arial"/>
        </w:rPr>
      </w:pPr>
      <w:r>
        <w:rPr>
          <w:rFonts w:ascii="Arial" w:hAnsi="Arial" w:eastAsia="Arial" w:cs="Arial"/>
          <w:b/>
        </w:rPr>
        <w:t xml:space="preserve">13.7.1.7.</w:t>
      </w:r>
      <w:r>
        <w:rPr>
          <w:rFonts w:ascii="Arial" w:hAnsi="Arial" w:eastAsia="Arial" w:cs="Arial"/>
        </w:rPr>
        <w:t xml:space="preserve"> O licitante organizado em cooperativa deverá declarar, ainda que, cumpre os requisitos estabelecidos no </w:t>
      </w:r>
      <w:hyperlink r:id="rId43" w:tooltip="http://www.planalto.gov.br/ccivil_03/_ato2019-2022/2021/lei/L14133.htm#art16" w:anchor="art16" w:history="1">
        <w:r>
          <w:rPr>
            <w:rFonts w:ascii="Arial" w:hAnsi="Arial" w:eastAsia="Arial" w:cs="Arial"/>
          </w:rPr>
          <w:t xml:space="preserve">artigo 16 da Lei nº 14.133, de 2021</w:t>
        </w:r>
      </w:hyperlink>
      <w:r>
        <w:rPr>
          <w:rFonts w:ascii="Arial" w:hAnsi="Arial" w:eastAsia="Arial" w:cs="Arial"/>
        </w:rPr>
        <w:t xml:space="preserve">;</w:t>
      </w:r>
      <w:r>
        <w:rPr>
          <w:rFonts w:ascii="Arial" w:hAnsi="Arial" w:eastAsia="Arial" w:cs="Arial"/>
        </w:rPr>
      </w:r>
    </w:p>
    <w:p w14:paraId="0ADB34F6" w14:textId="77777777">
      <w:pPr>
        <w:pBdr/>
        <w:spacing/>
        <w:ind/>
        <w:jc w:val="both"/>
        <w:rPr>
          <w:rFonts w:ascii="Arial" w:hAnsi="Arial" w:eastAsia="Arial" w:cs="Arial"/>
        </w:rPr>
      </w:pPr>
      <w:r>
        <w:rPr>
          <w:rFonts w:ascii="Arial" w:hAnsi="Arial" w:eastAsia="Arial" w:cs="Arial"/>
          <w:b/>
        </w:rPr>
        <w:t xml:space="preserve">13.7.1.8. </w:t>
      </w:r>
      <w:r>
        <w:rPr>
          <w:rFonts w:ascii="Arial" w:hAnsi="Arial" w:eastAsia="Arial" w:cs="Arial"/>
        </w:rPr>
        <w:t xml:space="preserve">Que não há sanções vigentes que legalmente proíbam a participante de licitar e/ou contratar com o Órgão/Entidade contratante;</w:t>
      </w:r>
      <w:r>
        <w:rPr>
          <w:rFonts w:ascii="Arial" w:hAnsi="Arial" w:eastAsia="Arial" w:cs="Arial"/>
        </w:rPr>
      </w:r>
    </w:p>
    <w:p w14:paraId="168B810F" w14:textId="77777777">
      <w:pPr>
        <w:pBdr/>
        <w:spacing/>
        <w:ind/>
        <w:jc w:val="both"/>
        <w:rPr>
          <w:rFonts w:ascii="Arial" w:hAnsi="Arial" w:eastAsia="Arial" w:cs="Arial"/>
        </w:rPr>
      </w:pPr>
      <w:r>
        <w:rPr>
          <w:rFonts w:ascii="Arial" w:hAnsi="Arial" w:eastAsia="Arial" w:cs="Arial"/>
          <w:b/>
        </w:rPr>
        <w:t xml:space="preserve">13.7.1.9.</w:t>
      </w:r>
      <w:r>
        <w:rPr>
          <w:rFonts w:ascii="Arial" w:hAnsi="Arial" w:eastAsia="Arial" w:cs="Arial"/>
        </w:rPr>
        <w:t xml:space="preserve"> O declarante responderá pela veracidade das informações prestadas, sujeitando-se às sanções previstas na forma da lei, e neste Edital.</w:t>
      </w:r>
      <w:r>
        <w:rPr>
          <w:rFonts w:ascii="Arial" w:hAnsi="Arial" w:eastAsia="Arial" w:cs="Arial"/>
        </w:rPr>
      </w:r>
    </w:p>
    <w:p w14:paraId="00E2DF11" w14:textId="77777777">
      <w:pPr>
        <w:pBdr/>
        <w:tabs>
          <w:tab w:val="left" w:leader="none" w:pos="4350"/>
        </w:tabs>
        <w:spacing/>
        <w:ind/>
        <w:jc w:val="both"/>
        <w:rPr>
          <w:rFonts w:ascii="Arial" w:hAnsi="Arial" w:eastAsia="Arial" w:cs="Arial"/>
        </w:rPr>
      </w:pPr>
      <w:r>
        <w:rPr>
          <w:rFonts w:ascii="Arial" w:hAnsi="Arial" w:eastAsia="Arial" w:cs="Arial"/>
        </w:rPr>
        <w:tab/>
      </w:r>
      <w:r>
        <w:rPr>
          <w:rFonts w:ascii="Arial" w:hAnsi="Arial" w:eastAsia="Arial" w:cs="Arial"/>
        </w:rPr>
      </w:r>
    </w:p>
    <w:p w14:paraId="1A942EA6" w14:textId="77777777">
      <w:pPr>
        <w:pBdr/>
        <w:spacing/>
        <w:ind/>
        <w:jc w:val="both"/>
        <w:rPr>
          <w:rFonts w:ascii="Arial" w:hAnsi="Arial" w:eastAsia="Arial" w:cs="Arial"/>
        </w:rPr>
      </w:pPr>
      <w:r>
        <w:rPr>
          <w:rFonts w:ascii="Arial" w:hAnsi="Arial" w:eastAsia="Arial" w:cs="Arial"/>
        </w:rPr>
        <w:t xml:space="preserve">Por ser verdade assino o presente.</w:t>
      </w:r>
      <w:r>
        <w:rPr>
          <w:rFonts w:ascii="Arial" w:hAnsi="Arial" w:eastAsia="Arial" w:cs="Arial"/>
        </w:rPr>
      </w:r>
    </w:p>
    <w:p w14:paraId="41CE54DF"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239AC7B1"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03EB96D7" w14:textId="77777777">
      <w:pPr>
        <w:pBdr/>
        <w:spacing/>
        <w:ind/>
        <w:jc w:val="both"/>
        <w:rPr>
          <w:rFonts w:ascii="Arial" w:hAnsi="Arial" w:eastAsia="Arial" w:cs="Arial"/>
        </w:rPr>
      </w:pPr>
      <w:r>
        <w:rPr>
          <w:rFonts w:ascii="Arial" w:hAnsi="Arial" w:eastAsia="Arial" w:cs="Arial"/>
        </w:rPr>
        <w:t xml:space="preserve">__________________, _______ de ___________________ de 2026.</w:t>
      </w:r>
      <w:r>
        <w:rPr>
          <w:rFonts w:ascii="Arial" w:hAnsi="Arial" w:eastAsia="Arial" w:cs="Arial"/>
        </w:rPr>
      </w:r>
    </w:p>
    <w:p w14:paraId="000658CD"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0E8967C6" w14:textId="77777777">
      <w:pPr>
        <w:pBdr/>
        <w:spacing/>
        <w:ind/>
        <w:jc w:val="both"/>
        <w:rPr>
          <w:rFonts w:ascii="Arial" w:hAnsi="Arial" w:eastAsia="Arial" w:cs="Arial"/>
          <w:b/>
        </w:rPr>
      </w:pPr>
      <w:r>
        <w:rPr>
          <w:rFonts w:ascii="Arial" w:hAnsi="Arial" w:eastAsia="Arial" w:cs="Arial"/>
          <w:b/>
        </w:rPr>
        <w:t xml:space="preserve">________________________________________________________________________</w:t>
      </w:r>
      <w:r>
        <w:rPr>
          <w:rFonts w:ascii="Arial" w:hAnsi="Arial" w:eastAsia="Arial" w:cs="Arial"/>
          <w:b/>
        </w:rPr>
      </w:r>
    </w:p>
    <w:p w14:paraId="485ECC5B" w14:textId="77777777">
      <w:pPr>
        <w:pBdr/>
        <w:spacing/>
        <w:ind/>
        <w:jc w:val="both"/>
        <w:rPr>
          <w:rFonts w:ascii="Arial" w:hAnsi="Arial" w:eastAsia="Arial" w:cs="Arial"/>
        </w:rPr>
      </w:pPr>
      <w:r>
        <w:rPr>
          <w:rFonts w:ascii="Arial" w:hAnsi="Arial" w:eastAsia="Arial" w:cs="Arial"/>
        </w:rPr>
        <w:t xml:space="preserve">Assinatura do Representante Legal</w:t>
      </w:r>
      <w:r>
        <w:rPr>
          <w:rFonts w:ascii="Arial" w:hAnsi="Arial" w:eastAsia="Arial" w:cs="Arial"/>
        </w:rPr>
      </w:r>
    </w:p>
    <w:p w14:paraId="77D293BE"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647AE219"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5940BF82"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23FFC3AE"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2602C1CE" w14:textId="77777777">
      <w:pPr>
        <w:pBdr/>
        <w:spacing/>
        <w:ind/>
        <w:jc w:val="both"/>
        <w:rPr>
          <w:rFonts w:ascii="Arial" w:hAnsi="Arial" w:eastAsia="Arial" w:cs="Arial"/>
        </w:rPr>
      </w:pPr>
      <w:r>
        <w:rPr>
          <w:rFonts w:ascii="Arial" w:hAnsi="Arial" w:eastAsia="Arial" w:cs="Arial"/>
        </w:rPr>
      </w:r>
      <w:r>
        <w:rPr>
          <w:rFonts w:ascii="Arial" w:hAnsi="Arial" w:eastAsia="Arial" w:cs="Arial"/>
        </w:rPr>
      </w:r>
    </w:p>
    <w:p w14:paraId="52D1BC46" w14:textId="77777777">
      <w:pPr>
        <w:pBdr>
          <w:top w:val="single" w:color="000000" w:sz="4" w:space="1"/>
          <w:left w:val="single" w:color="000000" w:sz="4" w:space="4"/>
          <w:bottom w:val="single" w:color="000000" w:sz="4" w:space="1"/>
          <w:right w:val="single" w:color="000000" w:sz="4" w:space="4"/>
        </w:pBdr>
        <w:tabs>
          <w:tab w:val="left" w:leader="none" w:pos="8576"/>
          <w:tab w:val="left" w:leader="none" w:pos="10419"/>
        </w:tabs>
        <w:spacing/>
        <w:ind/>
        <w:jc w:val="center"/>
        <w:rPr>
          <w:rFonts w:ascii="Arial" w:hAnsi="Arial" w:eastAsia="Arial" w:cs="Arial"/>
          <w:b/>
          <w:sz w:val="21"/>
          <w:szCs w:val="21"/>
        </w:rPr>
      </w:pPr>
      <w:r>
        <w:rPr>
          <w:rFonts w:ascii="Arial" w:hAnsi="Arial" w:eastAsia="Arial" w:cs="Arial"/>
          <w:b/>
          <w:sz w:val="21"/>
          <w:szCs w:val="21"/>
        </w:rPr>
        <w:t xml:space="preserve">PAPEL TIMBRADO DA EMPRESA LICITANTE</w:t>
      </w:r>
      <w:r>
        <w:rPr>
          <w:rFonts w:ascii="Arial" w:hAnsi="Arial" w:eastAsia="Arial" w:cs="Arial"/>
          <w:b/>
          <w:sz w:val="21"/>
          <w:szCs w:val="21"/>
        </w:rPr>
      </w:r>
    </w:p>
    <w:p w14:paraId="5330AB5C" w14:textId="77777777">
      <w:pPr>
        <w:pBdr/>
        <w:spacing/>
        <w:ind/>
        <w:jc w:val="both"/>
        <w:rPr>
          <w:rFonts w:ascii="Arial" w:hAnsi="Arial" w:eastAsia="Arial" w:cs="Arial"/>
          <w:b/>
          <w:sz w:val="21"/>
          <w:szCs w:val="21"/>
          <w:u w:val="single"/>
        </w:rPr>
      </w:pPr>
      <w:r>
        <w:rPr>
          <w:rFonts w:ascii="Arial" w:hAnsi="Arial" w:eastAsia="Arial" w:cs="Arial"/>
          <w:b/>
          <w:sz w:val="21"/>
          <w:szCs w:val="21"/>
          <w:u w:val="single"/>
        </w:rPr>
      </w:r>
      <w:r>
        <w:rPr>
          <w:rFonts w:ascii="Arial" w:hAnsi="Arial" w:eastAsia="Arial" w:cs="Arial"/>
          <w:b/>
          <w:sz w:val="21"/>
          <w:szCs w:val="21"/>
          <w:u w:val="single"/>
        </w:rPr>
      </w:r>
    </w:p>
    <w:p w14:paraId="0D2AD1C6" w14:textId="77777777">
      <w:pPr>
        <w:pStyle w:val="882"/>
        <w:pBdr/>
        <w:spacing w:after="0" w:before="0"/>
        <w:ind/>
        <w:rPr>
          <w:sz w:val="20"/>
          <w:szCs w:val="20"/>
          <w:lang w:val="pt-BR"/>
        </w:rPr>
      </w:pPr>
      <w:r/>
      <w:bookmarkStart w:id="49" w:name="_heading=h.5adncxsznfyr"/>
      <w:r/>
      <w:bookmarkEnd w:id="49"/>
      <w:r>
        <w:rPr>
          <w:sz w:val="20"/>
          <w:szCs w:val="20"/>
          <w:lang w:val="pt-BR"/>
        </w:rPr>
        <w:t xml:space="preserve">ANEXO VI: </w:t>
      </w:r>
      <w:r>
        <w:rPr>
          <w:rFonts w:eastAsia="SimSun"/>
          <w:sz w:val="20"/>
          <w:szCs w:val="20"/>
          <w:lang w:val="pt-BR"/>
        </w:rPr>
        <w:t xml:space="preserve">DECLARAÇÃO DE ENQUADRAMENTO COMO MICROEMPRESA OU EMPRESA DE PEQUENO PORTE – APENAS PARA AS ME E EPP.</w:t>
      </w:r>
      <w:r>
        <w:rPr>
          <w:sz w:val="20"/>
          <w:szCs w:val="20"/>
          <w:lang w:val="pt-BR"/>
        </w:rPr>
      </w:r>
    </w:p>
    <w:p w14:paraId="3EBE5B3E" w14:textId="77777777">
      <w:pPr>
        <w:pBdr/>
        <w:spacing w:line="276" w:lineRule="auto"/>
        <w:ind/>
        <w:jc w:val="both"/>
        <w:rPr>
          <w:rFonts w:ascii="Arial" w:hAnsi="Arial" w:eastAsia="SimSun" w:cs="Arial"/>
          <w:b/>
          <w:u w:val="single"/>
        </w:rPr>
      </w:pPr>
      <w:r>
        <w:rPr>
          <w:rFonts w:ascii="Arial" w:hAnsi="Arial" w:eastAsia="SimSun" w:cs="Arial"/>
          <w:b/>
          <w:u w:val="single"/>
        </w:rPr>
      </w:r>
      <w:r>
        <w:rPr>
          <w:rFonts w:ascii="Arial" w:hAnsi="Arial" w:eastAsia="SimSun" w:cs="Arial"/>
          <w:b/>
          <w:u w:val="single"/>
        </w:rPr>
      </w:r>
    </w:p>
    <w:p w14:paraId="27BF29D9" w14:textId="77777777">
      <w:pPr>
        <w:pBdr/>
        <w:spacing/>
        <w:ind/>
        <w:jc w:val="both"/>
        <w:rPr>
          <w:rFonts w:ascii="Arial" w:hAnsi="Arial" w:cs="Arial"/>
        </w:rPr>
      </w:pPr>
      <w:r>
        <w:rPr>
          <w:rFonts w:ascii="Arial" w:hAnsi="Arial" w:cs="Arial"/>
        </w:rPr>
        <w:t xml:space="preserve">(PAPEL TIMBRADO DA EMPRESA)</w:t>
      </w:r>
      <w:r>
        <w:rPr>
          <w:rFonts w:ascii="Arial" w:hAnsi="Arial" w:cs="Arial"/>
        </w:rPr>
      </w:r>
    </w:p>
    <w:p w14:paraId="6BB538E1" w14:textId="77777777">
      <w:pPr>
        <w:pBdr/>
        <w:spacing/>
        <w:ind/>
        <w:jc w:val="center"/>
        <w:rPr>
          <w:rFonts w:ascii="Arial" w:hAnsi="Arial" w:cs="Arial"/>
          <w:b/>
        </w:rPr>
      </w:pPr>
      <w:r>
        <w:rPr>
          <w:rFonts w:ascii="Arial" w:hAnsi="Arial" w:cs="Arial"/>
          <w:b/>
        </w:rPr>
      </w:r>
      <w:r>
        <w:rPr>
          <w:rFonts w:ascii="Arial" w:hAnsi="Arial" w:cs="Arial"/>
          <w:b/>
        </w:rPr>
      </w:r>
    </w:p>
    <w:p w14:paraId="225401C8" w14:textId="77777777">
      <w:pPr>
        <w:pBdr/>
        <w:spacing/>
        <w:ind/>
        <w:jc w:val="both"/>
        <w:rPr>
          <w:rFonts w:ascii="Arial" w:hAnsi="Arial" w:cs="Arial"/>
        </w:rPr>
      </w:pPr>
      <w:r>
        <w:rPr>
          <w:rFonts w:ascii="Arial" w:hAnsi="Arial" w:cs="Arial"/>
        </w:rPr>
      </w:r>
      <w:r>
        <w:rPr>
          <w:rFonts w:ascii="Arial" w:hAnsi="Arial" w:cs="Arial"/>
        </w:rPr>
      </w:r>
    </w:p>
    <w:p w14:paraId="0BD51AD2" w14:textId="77777777">
      <w:pPr>
        <w:pBdr/>
        <w:spacing/>
        <w:ind/>
        <w:jc w:val="both"/>
        <w:rPr>
          <w:rFonts w:ascii="Arial" w:hAnsi="Arial" w:cs="Arial"/>
        </w:rPr>
      </w:pPr>
      <w:r>
        <w:rPr>
          <w:rFonts w:ascii="Arial" w:hAnsi="Arial" w:cs="Arial"/>
        </w:rPr>
        <w:t xml:space="preserve">A empresa..................................................................................., inscrita no CNPJ nº .................................................................., por intermédio de seu representante legal,................................</w:t>
      </w:r>
      <w:r>
        <w:rPr>
          <w:rFonts w:ascii="Arial" w:hAnsi="Arial" w:cs="Arial"/>
        </w:rPr>
        <w:t xml:space="preserve">.........................................................................................., CPF nº....................................................., Carteira de Identidade nº........................................, declara, para fins de participação n</w:t>
      </w:r>
      <w:r>
        <w:rPr>
          <w:rFonts w:ascii="Arial" w:hAnsi="Arial" w:cs="Arial"/>
        </w:rPr>
        <w:t xml:space="preserve">o pregão eletrônico nº. XX/2026, sob as penas da Lei, que é considerada:</w:t>
      </w:r>
      <w:r>
        <w:rPr>
          <w:rFonts w:ascii="Arial" w:hAnsi="Arial" w:cs="Arial"/>
        </w:rPr>
      </w:r>
    </w:p>
    <w:p w14:paraId="09729082" w14:textId="77777777">
      <w:pPr>
        <w:pBdr/>
        <w:spacing/>
        <w:ind/>
        <w:jc w:val="both"/>
        <w:rPr>
          <w:rFonts w:ascii="Arial" w:hAnsi="Arial" w:cs="Arial"/>
        </w:rPr>
      </w:pPr>
      <w:r>
        <w:rPr>
          <w:rFonts w:ascii="Arial" w:hAnsi="Arial" w:cs="Arial"/>
        </w:rPr>
      </w:r>
      <w:r>
        <w:rPr>
          <w:rFonts w:ascii="Arial" w:hAnsi="Arial" w:cs="Arial"/>
        </w:rPr>
      </w:r>
    </w:p>
    <w:p w14:paraId="0B1E70C5" w14:textId="77777777">
      <w:pPr>
        <w:pBdr/>
        <w:spacing/>
        <w:ind/>
        <w:jc w:val="both"/>
        <w:rPr>
          <w:rFonts w:ascii="Arial" w:hAnsi="Arial" w:cs="Arial"/>
        </w:rPr>
      </w:pPr>
      <w:r>
        <w:rPr>
          <w:rFonts w:ascii="Arial" w:hAnsi="Arial" w:cs="Arial"/>
        </w:rPr>
        <w:t xml:space="preserve">( )</w:t>
      </w:r>
      <w:r>
        <w:rPr>
          <w:rFonts w:ascii="Arial" w:hAnsi="Arial" w:cs="Arial"/>
        </w:rPr>
        <w:t xml:space="preserve"> microempresa, conforme inciso I do artigo 3º da Lei Complementar nº 123/06;</w:t>
      </w:r>
      <w:r>
        <w:rPr>
          <w:rFonts w:ascii="Arial" w:hAnsi="Arial" w:cs="Arial"/>
        </w:rPr>
      </w:r>
    </w:p>
    <w:p w14:paraId="29D8E91E" w14:textId="77777777">
      <w:pPr>
        <w:pBdr/>
        <w:spacing/>
        <w:ind/>
        <w:jc w:val="both"/>
        <w:rPr>
          <w:rFonts w:ascii="Arial" w:hAnsi="Arial" w:cs="Arial"/>
        </w:rPr>
      </w:pPr>
      <w:r>
        <w:rPr>
          <w:rFonts w:ascii="Arial" w:hAnsi="Arial" w:cs="Arial"/>
        </w:rPr>
      </w:r>
      <w:r>
        <w:rPr>
          <w:rFonts w:ascii="Arial" w:hAnsi="Arial" w:cs="Arial"/>
        </w:rPr>
      </w:r>
    </w:p>
    <w:p w14:paraId="0173FC8B" w14:textId="77777777">
      <w:pPr>
        <w:pBdr/>
        <w:spacing/>
        <w:ind/>
        <w:jc w:val="both"/>
        <w:rPr>
          <w:rFonts w:ascii="Arial" w:hAnsi="Arial" w:cs="Arial"/>
        </w:rPr>
      </w:pPr>
      <w:r>
        <w:rPr>
          <w:rFonts w:ascii="Arial" w:hAnsi="Arial" w:cs="Arial"/>
        </w:rPr>
        <w:t xml:space="preserve">( ) empresa de pequeno porte, conforme inciso II do artigo 3º da Lei Complementar 123/06.</w:t>
      </w:r>
      <w:r>
        <w:rPr>
          <w:rFonts w:ascii="Arial" w:hAnsi="Arial" w:cs="Arial"/>
        </w:rPr>
      </w:r>
    </w:p>
    <w:p w14:paraId="59AC0F66" w14:textId="77777777">
      <w:pPr>
        <w:pBdr/>
        <w:spacing/>
        <w:ind/>
        <w:jc w:val="both"/>
        <w:rPr>
          <w:rFonts w:ascii="Arial" w:hAnsi="Arial" w:cs="Arial"/>
        </w:rPr>
      </w:pPr>
      <w:r>
        <w:rPr>
          <w:rFonts w:ascii="Arial" w:hAnsi="Arial" w:cs="Arial"/>
        </w:rPr>
      </w:r>
      <w:r>
        <w:rPr>
          <w:rFonts w:ascii="Arial" w:hAnsi="Arial" w:cs="Arial"/>
        </w:rPr>
      </w:r>
    </w:p>
    <w:p w14:paraId="38D7B105" w14:textId="77777777">
      <w:pPr>
        <w:pBdr/>
        <w:spacing/>
        <w:ind/>
        <w:jc w:val="both"/>
        <w:rPr>
          <w:rFonts w:ascii="Arial" w:hAnsi="Arial" w:cs="Arial"/>
        </w:rPr>
      </w:pPr>
      <w:r>
        <w:rPr>
          <w:rFonts w:ascii="Arial" w:hAnsi="Arial" w:cs="Arial"/>
        </w:rPr>
        <w:t xml:space="preserve">Declara que a empresa está excluída das vedaçõ</w:t>
      </w:r>
      <w:r>
        <w:rPr>
          <w:rFonts w:ascii="Arial" w:hAnsi="Arial" w:cs="Arial"/>
        </w:rPr>
        <w:t xml:space="preserve">es constantes do parágrafo 4º do artigo 3º da Lei Complementar nº 123/06 e que caso seja declarada vencedora do certame, promoveremos a regularização de eventuais defeitos ou restrições existentes na documentação exigida para efeito de regularidade fiscal.</w:t>
      </w:r>
      <w:r>
        <w:rPr>
          <w:rFonts w:ascii="Arial" w:hAnsi="Arial" w:cs="Arial"/>
        </w:rPr>
      </w:r>
    </w:p>
    <w:p w14:paraId="45AEE083" w14:textId="77777777">
      <w:pPr>
        <w:pBdr/>
        <w:spacing/>
        <w:ind/>
        <w:jc w:val="both"/>
        <w:rPr>
          <w:rFonts w:ascii="Arial" w:hAnsi="Arial" w:cs="Arial"/>
        </w:rPr>
      </w:pPr>
      <w:r>
        <w:rPr>
          <w:rFonts w:ascii="Arial" w:hAnsi="Arial" w:cs="Arial"/>
        </w:rPr>
      </w:r>
      <w:r>
        <w:rPr>
          <w:rFonts w:ascii="Arial" w:hAnsi="Arial" w:cs="Arial"/>
        </w:rPr>
      </w:r>
    </w:p>
    <w:p w14:paraId="60E7D74E" w14:textId="77777777">
      <w:pPr>
        <w:pBdr/>
        <w:spacing/>
        <w:ind/>
        <w:jc w:val="both"/>
        <w:rPr>
          <w:rFonts w:ascii="Arial" w:hAnsi="Arial" w:cs="Arial"/>
        </w:rPr>
      </w:pPr>
      <w:r>
        <w:rPr>
          <w:rFonts w:ascii="Arial" w:hAnsi="Arial" w:cs="Arial"/>
        </w:rPr>
        <w:t xml:space="preserve">Declara que no ano-calendário de </w:t>
      </w:r>
      <w:r>
        <w:rPr>
          <w:rFonts w:ascii="Arial" w:hAnsi="Arial" w:cs="Arial"/>
        </w:rPr>
        <w:t xml:space="preserve">realização desta licitação, os valores somados dos contratos celebrados com a Administração Pública, não extrapolam a receita bruta máxima admitida para fins de enquadramento como empresa de pequeno porte, nos termos do art. 4º, § 2º da Lei nº 14.133/2021.</w:t>
      </w:r>
      <w:r>
        <w:rPr>
          <w:rFonts w:ascii="Arial" w:hAnsi="Arial" w:cs="Arial"/>
        </w:rPr>
      </w:r>
    </w:p>
    <w:p w14:paraId="393BC3BF" w14:textId="77777777">
      <w:pPr>
        <w:pBdr/>
        <w:spacing/>
        <w:ind/>
        <w:jc w:val="both"/>
        <w:rPr>
          <w:rFonts w:ascii="Arial" w:hAnsi="Arial" w:cs="Arial"/>
        </w:rPr>
      </w:pPr>
      <w:r>
        <w:rPr>
          <w:rFonts w:ascii="Arial" w:hAnsi="Arial" w:cs="Arial"/>
        </w:rPr>
      </w:r>
      <w:r>
        <w:rPr>
          <w:rFonts w:ascii="Arial" w:hAnsi="Arial" w:cs="Arial"/>
        </w:rPr>
      </w:r>
    </w:p>
    <w:p w14:paraId="44D14C41" w14:textId="77777777">
      <w:pPr>
        <w:pBdr/>
        <w:spacing/>
        <w:ind/>
        <w:jc w:val="center"/>
        <w:rPr>
          <w:rFonts w:ascii="Arial" w:hAnsi="Arial" w:cs="Arial"/>
        </w:rPr>
      </w:pPr>
      <w:r>
        <w:rPr>
          <w:rFonts w:ascii="Arial" w:hAnsi="Arial" w:cs="Arial"/>
        </w:rPr>
        <w:t xml:space="preserve">XXXXXX, ..... de ...........................de 2026.</w:t>
      </w:r>
      <w:r>
        <w:rPr>
          <w:rFonts w:ascii="Arial" w:hAnsi="Arial" w:cs="Arial"/>
        </w:rPr>
      </w:r>
    </w:p>
    <w:p w14:paraId="2C673999" w14:textId="77777777">
      <w:pPr>
        <w:pBdr/>
        <w:spacing/>
        <w:ind/>
        <w:jc w:val="center"/>
        <w:rPr>
          <w:rFonts w:ascii="Arial" w:hAnsi="Arial" w:cs="Arial"/>
        </w:rPr>
      </w:pPr>
      <w:r>
        <w:rPr>
          <w:rFonts w:ascii="Arial" w:hAnsi="Arial" w:cs="Arial"/>
        </w:rPr>
        <w:t xml:space="preserve">(assinatura representante legal)</w:t>
      </w:r>
      <w:r>
        <w:rPr>
          <w:rFonts w:ascii="Arial" w:hAnsi="Arial" w:cs="Arial"/>
        </w:rPr>
      </w:r>
    </w:p>
    <w:p w14:paraId="0F197036" w14:textId="77777777">
      <w:pPr>
        <w:pBdr/>
        <w:spacing/>
        <w:ind/>
        <w:jc w:val="both"/>
        <w:rPr>
          <w:rFonts w:ascii="Arial" w:hAnsi="Arial" w:cs="Arial"/>
        </w:rPr>
      </w:pPr>
      <w:r>
        <w:rPr>
          <w:rFonts w:ascii="Arial" w:hAnsi="Arial" w:cs="Arial"/>
        </w:rPr>
      </w:r>
      <w:r>
        <w:rPr>
          <w:rFonts w:ascii="Arial" w:hAnsi="Arial" w:cs="Arial"/>
        </w:rPr>
      </w:r>
    </w:p>
    <w:p w14:paraId="5DF281FC" w14:textId="77777777">
      <w:pPr>
        <w:pBdr/>
        <w:spacing/>
        <w:ind/>
        <w:jc w:val="both"/>
        <w:rPr>
          <w:rFonts w:ascii="Arial" w:hAnsi="Arial" w:cs="Arial"/>
        </w:rPr>
      </w:pPr>
      <w:r>
        <w:rPr>
          <w:rFonts w:ascii="Arial" w:hAnsi="Arial" w:cs="Arial"/>
        </w:rPr>
        <w:t xml:space="preserve">Nota: A falsidade desta DECLARAÇÃO, objetivando os benefícios da Lei Complementar nº 123/2006, caracterizará crime de que trata o Art. 299 do Código Penal, sem prejuízo do enquadramento em outras figuras penais e das penalidades previstas neste Edital.</w:t>
      </w:r>
      <w:r>
        <w:rPr>
          <w:rFonts w:ascii="Arial" w:hAnsi="Arial" w:cs="Arial"/>
        </w:rPr>
      </w:r>
    </w:p>
    <w:p w14:paraId="3B718D7E" w14:textId="77777777">
      <w:pPr>
        <w:pBdr/>
        <w:spacing/>
        <w:ind/>
        <w:jc w:val="both"/>
        <w:rPr>
          <w:rFonts w:ascii="Arial" w:hAnsi="Arial" w:cs="Arial"/>
        </w:rPr>
      </w:pPr>
      <w:r>
        <w:rPr>
          <w:rFonts w:ascii="Arial" w:hAnsi="Arial" w:cs="Arial"/>
        </w:rPr>
        <w:t xml:space="preserve">Departamento de Compras.</w:t>
      </w:r>
      <w:r>
        <w:rPr>
          <w:rFonts w:ascii="Arial" w:hAnsi="Arial" w:cs="Arial"/>
        </w:rPr>
      </w:r>
    </w:p>
    <w:p w14:paraId="0E4DF8A9" w14:textId="77777777">
      <w:pPr>
        <w:pBdr/>
        <w:spacing/>
        <w:ind/>
        <w:jc w:val="both"/>
        <w:rPr>
          <w:rFonts w:ascii="Arial" w:hAnsi="Arial" w:cs="Arial"/>
        </w:rPr>
      </w:pPr>
      <w:r>
        <w:rPr>
          <w:rFonts w:ascii="Arial" w:hAnsi="Arial" w:cs="Arial"/>
        </w:rPr>
      </w:r>
      <w:r>
        <w:rPr>
          <w:rFonts w:ascii="Arial" w:hAnsi="Arial" w:cs="Arial"/>
        </w:rPr>
      </w:r>
    </w:p>
    <w:p w14:paraId="604935B9" w14:textId="77777777">
      <w:pPr>
        <w:pBdr/>
        <w:spacing/>
        <w:ind/>
        <w:jc w:val="both"/>
        <w:rPr>
          <w:rFonts w:ascii="Arial" w:hAnsi="Arial" w:cs="Arial"/>
        </w:rPr>
      </w:pPr>
      <w:r>
        <w:rPr>
          <w:rFonts w:ascii="Arial" w:hAnsi="Arial" w:cs="Arial"/>
        </w:rPr>
      </w:r>
      <w:r>
        <w:rPr>
          <w:rFonts w:ascii="Arial" w:hAnsi="Arial" w:cs="Arial"/>
        </w:rPr>
      </w:r>
    </w:p>
    <w:p w14:paraId="739EDB3D" w14:textId="77777777">
      <w:pPr>
        <w:pBdr/>
        <w:spacing/>
        <w:ind/>
        <w:jc w:val="both"/>
        <w:rPr>
          <w:rFonts w:ascii="Arial" w:hAnsi="Arial" w:cs="Arial"/>
        </w:rPr>
      </w:pPr>
      <w:r>
        <w:rPr>
          <w:rFonts w:ascii="Arial" w:hAnsi="Arial" w:cs="Arial"/>
        </w:rPr>
      </w:r>
      <w:r>
        <w:rPr>
          <w:rFonts w:ascii="Arial" w:hAnsi="Arial" w:cs="Arial"/>
        </w:rPr>
      </w:r>
    </w:p>
    <w:p w14:paraId="304D959E" w14:textId="77777777">
      <w:pPr>
        <w:pBdr/>
        <w:spacing/>
        <w:ind/>
        <w:jc w:val="both"/>
        <w:rPr>
          <w:rFonts w:ascii="Arial" w:hAnsi="Arial" w:cs="Arial"/>
        </w:rPr>
      </w:pPr>
      <w:r>
        <w:rPr>
          <w:rFonts w:ascii="Arial" w:hAnsi="Arial" w:cs="Arial"/>
        </w:rPr>
      </w:r>
      <w:r>
        <w:rPr>
          <w:rFonts w:ascii="Arial" w:hAnsi="Arial" w:cs="Arial"/>
        </w:rPr>
      </w:r>
    </w:p>
    <w:p w14:paraId="2B719BF3" w14:textId="77777777">
      <w:pPr>
        <w:pStyle w:val="882"/>
        <w:pBdr/>
        <w:spacing w:after="0" w:before="0"/>
        <w:ind/>
        <w:jc w:val="center"/>
        <w:rPr>
          <w:rFonts w:eastAsia="Arial"/>
          <w:sz w:val="21"/>
          <w:szCs w:val="21"/>
        </w:rPr>
      </w:pPr>
      <w:r>
        <w:rPr>
          <w:rFonts w:eastAsia="Arial"/>
          <w:sz w:val="21"/>
          <w:szCs w:val="21"/>
        </w:rPr>
      </w:r>
      <w:r>
        <w:rPr>
          <w:rFonts w:eastAsia="Arial"/>
          <w:sz w:val="21"/>
          <w:szCs w:val="21"/>
        </w:rPr>
      </w:r>
    </w:p>
    <w:sectPr>
      <w:headerReference w:type="default" r:id="rId9"/>
      <w:footerReference w:type="default" r:id="rId10"/>
      <w:footnotePr/>
      <w:endnotePr/>
      <w:type w:val="nextPage"/>
      <w:pgSz w:h="16838" w:orient="portrait" w:w="11906"/>
      <w:pgMar w:top="519" w:right="706" w:bottom="777" w:left="1134" w:header="142" w:footer="720" w:gutter="0"/>
      <w:pgNumType w:start="1"/>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14:paraId="6412D88C" w14:textId="77777777">
      <w:pPr>
        <w:pBdr/>
        <w:spacing/>
        <w:ind/>
        <w:rPr/>
      </w:pPr>
      <w:r>
        <w:separator/>
      </w:r>
      <w:r/>
    </w:p>
  </w:endnote>
  <w:endnote w:type="continuationSeparator" w:id="0">
    <w:p w14:paraId="25858324" w14:textId="77777777">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panose1 w:val="05040102010807070707"/>
  </w:font>
  <w:font w:name="Symbol">
    <w:panose1 w:val="05050102010706020507"/>
  </w:font>
  <w:font w:name="Liberation Sans">
    <w:panose1 w:val="020B0604020202020204"/>
  </w:font>
  <w:font w:name="Wingdings">
    <w:panose1 w:val="05000000000000000000"/>
  </w:font>
  <w:font w:name="SimSun;宋体">
    <w:panose1 w:val="02010600030101010101"/>
  </w:font>
  <w:font w:name="Noto Sans">
    <w:panose1 w:val="05040102010807070707"/>
  </w:font>
  <w:font w:name="SimSun">
    <w:panose1 w:val="02010600030101010101"/>
  </w:font>
  <w:font w:name="Verdana">
    <w:panose1 w:val="020B0604030504040204"/>
  </w:font>
  <w:font w:name="Century Gothic">
    <w:panose1 w:val="020B0503020204020204"/>
  </w:font>
  <w:font w:name="MS Gothic">
    <w:panose1 w:val="020B0609070205080204"/>
  </w:font>
  <w:font w:name="Calibri Light">
    <w:panose1 w:val="020F0302020204030204"/>
  </w:font>
  <w:font w:name="Liberation Serif">
    <w:panose1 w:val="02020603050405020304"/>
  </w:font>
  <w:font w:name="Helvetica Neue">
    <w:panose1 w:val="05040102010807070707"/>
  </w:font>
  <w:font w:name="Calibri">
    <w:panose1 w:val="020F0502020204030204"/>
  </w:font>
  <w:font w:name="Tahoma">
    <w:panose1 w:val="020B0604030504040204"/>
  </w:font>
  <w:font w:name="MS Mincho">
    <w:panose1 w:val="02020503050405090304"/>
  </w:font>
  <w:font w:name="Ecofont_Spranq_eco_Sans">
    <w:panose1 w:val="05040102010807070707"/>
  </w:font>
  <w:font w:name="Liberation Mono;Courier New">
    <w:panose1 w:val="05040102010807070707"/>
  </w:font>
  <w:font w:name="Courier New">
    <w:panose1 w:val="02070309020205020404"/>
  </w:font>
  <w:font w:name="OpenSymbol">
    <w:panose1 w:val="05010000000000000000"/>
  </w:font>
  <w:font w:name="Microsoft YaHei">
    <w:panose1 w:val="020B0503020204020204"/>
  </w:font>
  <w:font w:name="Times New Roman">
    <w:panose1 w:val="02020603050405020304"/>
  </w:font>
  <w:font w:name="NSimSun">
    <w:panose1 w:val="02010609030101010101"/>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559C82E1" w14:textId="77777777">
    <w:pPr>
      <w:widowControl w:val="false"/>
      <w:pBdr/>
      <w:tabs>
        <w:tab w:val="center" w:leader="none" w:pos="4419"/>
        <w:tab w:val="right" w:leader="none" w:pos="8838"/>
      </w:tabs>
      <w:spacing/>
      <w:ind/>
      <w:jc w:val="right"/>
      <w:rPr>
        <w:color w:val="000000"/>
      </w:rPr>
    </w:pPr>
    <w:r>
      <w:fldChar w:fldCharType="begin"/>
    </w:r>
    <w:r>
      <w:instrText xml:space="preserve"> PAGE </w:instrText>
    </w:r>
    <w:r>
      <w:fldChar w:fldCharType="separate"/>
    </w:r>
    <w:r>
      <w:t xml:space="preserve">67</w:t>
    </w:r>
    <w:r>
      <w:fldChar w:fldCharType="end"/>
    </w:r>
    <w:r>
      <w:rPr>
        <w:color w:val="000000"/>
      </w:rPr>
    </w:r>
  </w:p>
  <w:p w14:paraId="7055CCB3" w14:textId="77777777">
    <w:pPr>
      <w:widowControl w:val="false"/>
      <w:pBdr/>
      <w:tabs>
        <w:tab w:val="center" w:leader="none" w:pos="4419"/>
        <w:tab w:val="right" w:leader="none" w:pos="8838"/>
      </w:tabs>
      <w:spacing/>
      <w:ind/>
      <w:rPr>
        <w:color w:val="000000"/>
      </w:rPr>
    </w:pPr>
    <w:r>
      <w:rPr>
        <w:color w:val="000000"/>
      </w:rPr>
    </w:r>
    <w:r>
      <w:rPr>
        <w:color w:val="000000"/>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14:paraId="5F6FD3DA" w14:textId="77777777">
      <w:pPr>
        <w:pBdr/>
        <w:spacing/>
        <w:ind/>
        <w:rPr/>
      </w:pPr>
      <w:r>
        <w:separator/>
      </w:r>
      <w:r/>
    </w:p>
  </w:footnote>
  <w:footnote w:type="continuationSeparator" w:id="0">
    <w:p w14:paraId="2A0E02BB" w14:textId="77777777">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14:paraId="2D3F42EA" w14:textId="77777777">
    <w:pPr>
      <w:widowControl w:val="false"/>
      <w:pBdr/>
      <w:spacing w:line="276" w:lineRule="auto"/>
      <w:ind/>
      <w:rPr>
        <w:rFonts w:ascii="Arial" w:hAnsi="Arial" w:eastAsia="Arial" w:cs="Arial"/>
        <w:sz w:val="21"/>
        <w:szCs w:val="21"/>
      </w:rPr>
    </w:pPr>
    <w:r>
      <w:rPr>
        <w:rFonts w:ascii="Arial" w:hAnsi="Arial" w:eastAsia="Arial" w:cs="Arial"/>
        <w:sz w:val="21"/>
        <w:szCs w:val="21"/>
      </w:rPr>
    </w:r>
    <w:r>
      <w:rPr>
        <w:rFonts w:ascii="Arial" w:hAnsi="Arial" w:eastAsia="Arial" w:cs="Arial"/>
        <w:sz w:val="21"/>
        <w:szCs w:val="21"/>
      </w:rPr>
    </w:r>
  </w:p>
  <w:tbl>
    <w:tblPr>
      <w:tblW w:w="18218" w:type="dxa"/>
      <w:tblBorders/>
      <w:tblLayout w:type="fixed"/>
      <w:tblLook w:val="0000" w:firstRow="0" w:lastRow="0" w:firstColumn="0" w:lastColumn="0" w:noHBand="0" w:noVBand="0"/>
    </w:tblPr>
    <w:tblGrid>
      <w:gridCol w:w="249"/>
      <w:gridCol w:w="3545"/>
      <w:gridCol w:w="6094"/>
      <w:gridCol w:w="5356"/>
      <w:gridCol w:w="2974"/>
    </w:tblGrid>
    <w:tr>
      <w:trPr>
        <w:trHeight w:val="1438"/>
      </w:trPr>
      <w:tc>
        <w:tcPr>
          <w:tcBorders/>
          <w:tcW w:w="249" w:type="dxa"/>
          <w:vAlign w:val="center"/>
          <w:textDirection w:val="lrTb"/>
          <w:noWrap w:val="false"/>
        </w:tcPr>
        <w:p w14:paraId="6EF6C779" w14:textId="77777777">
          <w:pPr>
            <w:widowControl w:val="false"/>
            <w:pBdr/>
            <w:tabs>
              <w:tab w:val="center" w:leader="none" w:pos="4419"/>
              <w:tab w:val="right" w:leader="none" w:pos="8838"/>
              <w:tab w:val="right" w:leader="none" w:pos="9360"/>
            </w:tabs>
            <w:spacing/>
            <w:ind/>
            <w:jc w:val="center"/>
            <w:rPr>
              <w:rFonts w:ascii="Arial" w:hAnsi="Arial" w:eastAsia="Arial" w:cs="Arial"/>
              <w:b/>
              <w:smallCaps/>
              <w:color w:val="002060"/>
            </w:rPr>
          </w:pPr>
          <w:r>
            <w:rPr>
              <w:rFonts w:ascii="Arial" w:hAnsi="Arial" w:eastAsia="Arial" w:cs="Arial"/>
              <w:b/>
              <w:smallCaps/>
              <w:color w:val="002060"/>
            </w:rPr>
          </w:r>
          <w:r>
            <w:rPr>
              <w:rFonts w:ascii="Arial" w:hAnsi="Arial" w:eastAsia="Arial" w:cs="Arial"/>
              <w:b/>
              <w:smallCaps/>
              <w:color w:val="002060"/>
            </w:rPr>
          </w:r>
        </w:p>
      </w:tc>
      <w:tc>
        <w:tcPr>
          <w:tcBorders/>
          <w:tcW w:w="3545" w:type="dxa"/>
          <w:vAlign w:val="center"/>
          <w:textDirection w:val="lrTb"/>
          <w:noWrap w:val="false"/>
        </w:tcPr>
        <w:p w14:paraId="0C4F5D34" w14:textId="77777777">
          <w:pPr>
            <w:widowControl w:val="false"/>
            <w:pBdr/>
            <w:tabs>
              <w:tab w:val="left" w:leader="none" w:pos="34"/>
              <w:tab w:val="center" w:leader="none" w:pos="4419"/>
              <w:tab w:val="right" w:leader="none" w:pos="8838"/>
              <w:tab w:val="right" w:leader="none" w:pos="9360"/>
            </w:tabs>
            <w:spacing/>
            <w:ind/>
            <w:rPr>
              <w:rFonts w:ascii="Helvetica Neue" w:hAnsi="Helvetica Neue" w:eastAsia="Helvetica Neue" w:cs="Helvetica Neue"/>
              <w:smallCaps/>
              <w:color w:val="000000"/>
            </w:rPr>
          </w:pPr>
          <w:r>
            <w:rPr>
              <w:lang w:eastAsia="pt-BR"/>
            </w:rPr>
            <mc:AlternateContent>
              <mc:Choice Requires="wpg">
                <w:drawing>
                  <wp:inline xmlns:wp="http://schemas.openxmlformats.org/drawingml/2006/wordprocessingDrawing" distT="0" distB="0" distL="0" distR="0">
                    <wp:extent cx="2114550" cy="561975"/>
                    <wp:effectExtent l="0" t="0" r="0" b="0"/>
                    <wp:docPr id="1" name="image1.png" descr="C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png" descr="COR"/>
                            <pic:cNvPicPr>
                              <a:picLocks noChangeAspect="1"/>
                            </pic:cNvPicPr>
                            <pic:nvPr/>
                          </pic:nvPicPr>
                          <pic:blipFill rotWithShape="1">
                            <a:blip r:embed="rId1"/>
                            <a:stretch/>
                          </pic:blipFill>
                          <pic:spPr bwMode="auto">
                            <a:xfrm>
                              <a:off x="0" y="0"/>
                              <a:ext cx="2114550" cy="561975"/>
                            </a:xfrm>
                            <a:prstGeom prst="rect">
                              <a:avLst/>
                            </a:prstGeom>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66.50pt;height:44.25pt;mso-wrap-distance-left:0.00pt;mso-wrap-distance-top:0.00pt;mso-wrap-distance-right:0.00pt;mso-wrap-distance-bottom:0.00pt;z-index:1;" stroked="false">
                    <v:imagedata r:id="rId1" o:title=""/>
                    <o:lock v:ext="edit" rotation="t"/>
                  </v:shape>
                </w:pict>
              </mc:Fallback>
            </mc:AlternateContent>
          </w:r>
          <w:r>
            <w:rPr>
              <w:rFonts w:ascii="Helvetica Neue" w:hAnsi="Helvetica Neue" w:eastAsia="Helvetica Neue" w:cs="Helvetica Neue"/>
              <w:smallCaps/>
              <w:color w:val="000000"/>
            </w:rPr>
          </w:r>
        </w:p>
      </w:tc>
      <w:tc>
        <w:tcPr>
          <w:tcBorders/>
          <w:tcW w:w="6094" w:type="dxa"/>
          <w:vAlign w:val="center"/>
          <w:textDirection w:val="lrTb"/>
          <w:noWrap w:val="false"/>
        </w:tcPr>
        <w:p w14:paraId="5BB74B43" w14:textId="77777777">
          <w:pPr>
            <w:widowControl w:val="false"/>
            <w:pBdr/>
            <w:spacing w:line="276" w:lineRule="auto"/>
            <w:ind w:right="-1178"/>
            <w:jc w:val="both"/>
            <w:rPr>
              <w:rFonts w:ascii="Arial" w:hAnsi="Arial" w:eastAsia="Arial" w:cs="Arial"/>
              <w:b/>
              <w:smallCaps/>
            </w:rPr>
          </w:pPr>
          <w:r>
            <w:rPr>
              <w:rFonts w:ascii="Arial" w:hAnsi="Arial" w:eastAsia="Arial" w:cs="Arial"/>
              <w:b/>
              <w:smallCaps/>
            </w:rPr>
            <w:t xml:space="preserve">     Estado de Mato Grosso</w:t>
          </w:r>
          <w:r>
            <w:rPr>
              <w:rFonts w:ascii="Arial" w:hAnsi="Arial" w:eastAsia="Arial" w:cs="Arial"/>
              <w:b/>
              <w:smallCaps/>
            </w:rPr>
          </w:r>
        </w:p>
        <w:p w14:paraId="21CF2C19" w14:textId="77777777">
          <w:pPr>
            <w:widowControl w:val="false"/>
            <w:pBdr/>
            <w:spacing w:line="276" w:lineRule="auto"/>
            <w:ind w:right="-1178" w:hanging="283" w:left="500"/>
            <w:jc w:val="both"/>
            <w:rPr>
              <w:rFonts w:ascii="Arial" w:hAnsi="Arial" w:eastAsia="Arial" w:cs="Arial"/>
              <w:b/>
              <w:smallCaps/>
            </w:rPr>
          </w:pPr>
          <w:r>
            <w:rPr>
              <w:rFonts w:ascii="Arial" w:hAnsi="Arial" w:eastAsia="Arial" w:cs="Arial"/>
              <w:b/>
              <w:smallCaps/>
            </w:rPr>
            <w:t xml:space="preserve">Município de Rondonópolis</w:t>
          </w:r>
          <w:r>
            <w:rPr>
              <w:rFonts w:ascii="Arial" w:hAnsi="Arial" w:eastAsia="Arial" w:cs="Arial"/>
              <w:b/>
              <w:smallCaps/>
            </w:rPr>
          </w:r>
        </w:p>
        <w:p w14:paraId="23DB7DFF" w14:textId="77777777">
          <w:pPr>
            <w:widowControl w:val="false"/>
            <w:pBdr/>
            <w:spacing w:line="276" w:lineRule="auto"/>
            <w:ind w:right="-1178" w:hanging="283" w:left="500"/>
            <w:jc w:val="both"/>
            <w:rPr>
              <w:rFonts w:ascii="Arial" w:hAnsi="Arial" w:eastAsia="Arial" w:cs="Arial"/>
              <w:b/>
              <w:smallCaps/>
            </w:rPr>
          </w:pPr>
          <w:r>
            <w:rPr>
              <w:rFonts w:ascii="Arial" w:hAnsi="Arial" w:eastAsia="Arial" w:cs="Arial"/>
              <w:b/>
              <w:smallCaps/>
            </w:rPr>
            <w:t xml:space="preserve">Secretaria Municipal de Administração, Gestão e Inovação</w:t>
          </w:r>
          <w:r>
            <w:rPr>
              <w:rFonts w:ascii="Arial" w:hAnsi="Arial" w:eastAsia="Arial" w:cs="Arial"/>
              <w:b/>
              <w:smallCaps/>
            </w:rPr>
          </w:r>
        </w:p>
        <w:p w14:paraId="367D5AFB" w14:textId="77777777">
          <w:pPr>
            <w:widowControl w:val="false"/>
            <w:pBdr/>
            <w:spacing w:line="276" w:lineRule="auto"/>
            <w:ind w:right="-1178" w:hanging="283" w:left="500"/>
            <w:jc w:val="both"/>
            <w:rPr/>
          </w:pPr>
          <w:r>
            <w:rPr>
              <w:rFonts w:ascii="Arial" w:hAnsi="Arial" w:eastAsia="Arial" w:cs="Arial"/>
              <w:b/>
              <w:smallCaps/>
            </w:rPr>
            <w:t xml:space="preserve">Superintendência de Compras e Licitações (P.E.10/2026)</w:t>
          </w:r>
          <w:r/>
        </w:p>
      </w:tc>
      <w:tc>
        <w:tcPr>
          <w:tcBorders/>
          <w:tcW w:w="5356" w:type="dxa"/>
          <w:vAlign w:val="center"/>
          <w:textDirection w:val="lrTb"/>
          <w:noWrap w:val="false"/>
        </w:tcPr>
        <w:p w14:paraId="021823A2" w14:textId="77777777">
          <w:pPr>
            <w:widowControl w:val="false"/>
            <w:pBdr/>
            <w:spacing/>
            <w:ind/>
            <w:rPr>
              <w:color w:val="002060"/>
            </w:rPr>
          </w:pPr>
          <w:r>
            <w:rPr>
              <w:color w:val="002060"/>
            </w:rPr>
          </w:r>
          <w:r>
            <w:rPr>
              <w:color w:val="002060"/>
            </w:rPr>
          </w:r>
        </w:p>
      </w:tc>
      <w:tc>
        <w:tcPr>
          <w:tcBorders/>
          <w:tcW w:w="2974" w:type="dxa"/>
          <w:vAlign w:val="center"/>
          <w:textDirection w:val="lrTb"/>
          <w:noWrap w:val="false"/>
        </w:tcPr>
        <w:p w14:paraId="731BA629" w14:textId="77777777">
          <w:pPr>
            <w:widowControl w:val="false"/>
            <w:pBdr/>
            <w:tabs>
              <w:tab w:val="center" w:leader="none" w:pos="4419"/>
              <w:tab w:val="right" w:leader="none" w:pos="8838"/>
              <w:tab w:val="right" w:leader="none" w:pos="9360"/>
            </w:tabs>
            <w:spacing/>
            <w:ind/>
            <w:jc w:val="center"/>
            <w:rPr>
              <w:rFonts w:ascii="Helvetica Neue" w:hAnsi="Helvetica Neue" w:eastAsia="Helvetica Neue" w:cs="Helvetica Neue"/>
              <w:smallCaps/>
              <w:color w:val="000000"/>
            </w:rPr>
          </w:pPr>
          <w:r>
            <w:rPr>
              <w:rFonts w:ascii="Helvetica Neue" w:hAnsi="Helvetica Neue" w:eastAsia="Helvetica Neue" w:cs="Helvetica Neue"/>
              <w:smallCaps/>
              <w:color w:val="000000"/>
            </w:rPr>
          </w:r>
          <w:r>
            <w:rPr>
              <w:rFonts w:ascii="Helvetica Neue" w:hAnsi="Helvetica Neue" w:eastAsia="Helvetica Neue" w:cs="Helvetica Neue"/>
              <w:smallCaps/>
              <w:color w:val="000000"/>
            </w:rPr>
          </w:r>
        </w:p>
      </w:tc>
    </w:tr>
  </w:tbl>
  <w:p w14:paraId="6B2E411E" w14:textId="77777777">
    <w:pPr>
      <w:widowControl w:val="false"/>
      <w:pBdr/>
      <w:tabs>
        <w:tab w:val="center" w:leader="none" w:pos="4419"/>
        <w:tab w:val="right" w:leader="none" w:pos="8838"/>
      </w:tabs>
      <w:spacing/>
      <w:ind/>
      <w:rPr>
        <w:color w:val="000000"/>
      </w:rPr>
    </w:pPr>
    <w:r>
      <w:rPr>
        <w:color w:val="000000"/>
      </w:rPr>
    </w:r>
    <w:r>
      <w:rPr>
        <w:color w:val="000000"/>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7B7F7BD"/>
    <w:lvl w:ilvl="0">
      <w:isLgl w:val="false"/>
      <w:lvlJc w:val="left"/>
      <w:lvlText w:val=""/>
      <w:numFmt w:val="bullet"/>
      <w:pPr>
        <w:pBdr/>
        <w:tabs>
          <w:tab w:val="left" w:leader="none" w:pos="420"/>
        </w:tabs>
        <w:spacing/>
        <w:ind w:hanging="420" w:left="420"/>
      </w:pPr>
      <w:rPr>
        <w:rFonts w:hint="default" w:ascii="Wingdings" w:hAnsi="Wingdings"/>
      </w:rPr>
      <w:start w:val="1"/>
      <w:suff w:val="tab"/>
    </w:lvl>
    <w:lvl w:ilvl="1">
      <w:isLgl w:val="false"/>
      <w:lvlJc w:val="left"/>
      <w:lvlText w:val=""/>
      <w:numFmt w:val="bullet"/>
      <w:pPr>
        <w:pBdr/>
        <w:spacing/>
        <w:ind/>
      </w:pPr>
      <w:rPr/>
      <w:start w:val="0"/>
      <w:suff w:val="tab"/>
    </w:lvl>
    <w:lvl w:ilvl="2">
      <w:isLgl w:val="false"/>
      <w:lvlJc w:val="left"/>
      <w:lvlText w:val=""/>
      <w:numFmt w:val="bullet"/>
      <w:pPr>
        <w:pBdr/>
        <w:spacing/>
        <w:ind/>
      </w:pPr>
      <w:rPr/>
      <w:start w:val="0"/>
      <w:suff w:val="tab"/>
    </w:lvl>
    <w:lvl w:ilvl="3">
      <w:isLgl w:val="false"/>
      <w:lvlJc w:val="left"/>
      <w:lvlText w:val=""/>
      <w:numFmt w:val="bullet"/>
      <w:pPr>
        <w:pBdr/>
        <w:spacing/>
        <w:ind/>
      </w:pPr>
      <w:rPr/>
      <w:start w:val="0"/>
      <w:suff w:val="tab"/>
    </w:lvl>
    <w:lvl w:ilvl="4">
      <w:isLgl w:val="false"/>
      <w:lvlJc w:val="left"/>
      <w:lvlText w:val=""/>
      <w:numFmt w:val="bullet"/>
      <w:pPr>
        <w:pBdr/>
        <w:spacing/>
        <w:ind/>
      </w:pPr>
      <w:rPr/>
      <w:start w:val="0"/>
      <w:suff w:val="tab"/>
    </w:lvl>
    <w:lvl w:ilvl="5">
      <w:isLgl w:val="false"/>
      <w:lvlJc w:val="left"/>
      <w:lvlText w:val=""/>
      <w:numFmt w:val="bullet"/>
      <w:pPr>
        <w:pBdr/>
        <w:spacing/>
        <w:ind/>
      </w:pPr>
      <w:rPr/>
      <w:start w:val="0"/>
      <w:suff w:val="tab"/>
    </w:lvl>
    <w:lvl w:ilvl="6">
      <w:isLgl w:val="false"/>
      <w:lvlJc w:val="left"/>
      <w:lvlText w:val=""/>
      <w:numFmt w:val="bullet"/>
      <w:pPr>
        <w:pBdr/>
        <w:spacing/>
        <w:ind/>
      </w:pPr>
      <w:rPr/>
      <w:start w:val="0"/>
      <w:suff w:val="tab"/>
    </w:lvl>
    <w:lvl w:ilvl="7">
      <w:isLgl w:val="false"/>
      <w:lvlJc w:val="left"/>
      <w:lvlText w:val=""/>
      <w:numFmt w:val="bullet"/>
      <w:pPr>
        <w:pBdr/>
        <w:spacing/>
        <w:ind/>
      </w:pPr>
      <w:rPr/>
      <w:start w:val="0"/>
      <w:suff w:val="tab"/>
    </w:lvl>
    <w:lvl w:ilvl="8">
      <w:isLgl w:val="false"/>
      <w:lvlJc w:val="left"/>
      <w:lvlText w:val=""/>
      <w:numFmt w:val="bullet"/>
      <w:pPr>
        <w:pBdr/>
        <w:spacing/>
        <w:ind/>
      </w:pPr>
      <w:rPr/>
      <w:start w:val="0"/>
      <w:suff w:val="tab"/>
    </w:lvl>
  </w:abstractNum>
  <w:abstractNum w:abstractNumId="1">
    <w:nsid w:val="E78D5A08"/>
    <w:lvl w:ilvl="0">
      <w:isLgl w:val="false"/>
      <w:lvlJc w:val="left"/>
      <w:lvlText w:val="%1."/>
      <w:numFmt w:val="decimal"/>
      <w:pPr>
        <w:pBdr/>
        <w:spacing/>
        <w:ind/>
      </w:pPr>
      <w:rPr/>
      <w:start w:val="1"/>
      <w:suff w:val="space"/>
    </w:lvl>
    <w:lvl w:ilvl="1">
      <w:isLgl w:val="false"/>
      <w:lvlJc w:val="left"/>
      <w:lvlText w:val="%1.%2."/>
      <w:numFmt w:val="decimal"/>
      <w:pPr>
        <w:pBdr/>
        <w:spacing/>
        <w:ind w:firstLine="0" w:left="0"/>
      </w:pPr>
      <w:rPr>
        <w:rFonts w:hint="default"/>
        <w:b w:val="0"/>
        <w:bCs w:val="0"/>
      </w:rPr>
      <w:start w:val="1"/>
      <w:suff w:val="space"/>
    </w:lvl>
    <w:lvl w:ilvl="2">
      <w:isLgl w:val="false"/>
      <w:lvlJc w:val="left"/>
      <w:lvlText w:val="%1.%2.%3."/>
      <w:numFmt w:val="decimal"/>
      <w:pPr>
        <w:pBdr/>
        <w:spacing/>
        <w:ind w:firstLine="0" w:left="0"/>
      </w:pPr>
      <w:rPr>
        <w:rFonts w:hint="default"/>
      </w:rPr>
      <w:start w:val="1"/>
      <w:suff w:val="space"/>
    </w:lvl>
    <w:lvl w:ilvl="3">
      <w:isLgl w:val="false"/>
      <w:lvlJc w:val="left"/>
      <w:lvlText w:val="%1.%2.%3.%4."/>
      <w:numFmt w:val="decimal"/>
      <w:pPr>
        <w:pBdr/>
        <w:spacing/>
        <w:ind w:firstLine="0" w:left="0"/>
      </w:pPr>
      <w:rPr>
        <w:rFonts w:hint="default"/>
      </w:rPr>
      <w:start w:val="1"/>
      <w:suff w:val="space"/>
    </w:lvl>
    <w:lvl w:ilvl="4">
      <w:isLgl w:val="false"/>
      <w:lvlJc w:val="left"/>
      <w:lvlText w:val="%1.%2.%3.%4.%5."/>
      <w:numFmt w:val="decimal"/>
      <w:pPr>
        <w:pBdr/>
        <w:spacing/>
        <w:ind w:firstLine="0" w:left="0"/>
      </w:pPr>
      <w:rPr>
        <w:rFonts w:hint="default"/>
      </w:rPr>
      <w:start w:val="1"/>
      <w:suff w:val="space"/>
    </w:lvl>
    <w:lvl w:ilvl="5">
      <w:isLgl w:val="false"/>
      <w:lvlJc w:val="left"/>
      <w:lvlText w:val="%1.%2.%3.%4.%5.%6."/>
      <w:numFmt w:val="decimal"/>
      <w:pPr>
        <w:pBdr/>
        <w:spacing/>
        <w:ind w:firstLine="0" w:left="0"/>
      </w:pPr>
      <w:rPr>
        <w:rFonts w:hint="default"/>
      </w:rPr>
      <w:start w:val="1"/>
      <w:suff w:val="space"/>
    </w:lvl>
    <w:lvl w:ilvl="6">
      <w:isLgl w:val="false"/>
      <w:lvlJc w:val="left"/>
      <w:lvlText w:val="%1.%2.%3.%4.%5.%6.%7."/>
      <w:numFmt w:val="decimal"/>
      <w:pPr>
        <w:pBdr/>
        <w:spacing/>
        <w:ind w:firstLine="0" w:left="0"/>
      </w:pPr>
      <w:rPr>
        <w:rFonts w:hint="default"/>
      </w:rPr>
      <w:start w:val="1"/>
      <w:suff w:val="space"/>
    </w:lvl>
    <w:lvl w:ilvl="7">
      <w:isLgl w:val="false"/>
      <w:lvlJc w:val="left"/>
      <w:lvlText w:val="%1.%2.%3.%4.%5.%6.%7.%8."/>
      <w:numFmt w:val="decimal"/>
      <w:pPr>
        <w:pBdr/>
        <w:spacing/>
        <w:ind w:firstLine="0" w:left="0"/>
      </w:pPr>
      <w:rPr>
        <w:rFonts w:hint="default"/>
      </w:rPr>
      <w:start w:val="1"/>
      <w:suff w:val="space"/>
    </w:lvl>
    <w:lvl w:ilvl="8">
      <w:isLgl w:val="false"/>
      <w:lvlJc w:val="left"/>
      <w:lvlText w:val="%1.%2.%3.%4.%5.%6.%7.%8.%9."/>
      <w:numFmt w:val="decimal"/>
      <w:pPr>
        <w:pBdr/>
        <w:spacing/>
        <w:ind w:firstLine="0" w:left="0"/>
      </w:pPr>
      <w:rPr>
        <w:rFonts w:hint="default"/>
      </w:rPr>
      <w:start w:val="1"/>
      <w:suff w:val="space"/>
    </w:lvl>
  </w:abstractNum>
  <w:abstractNum w:abstractNumId="2">
    <w:nsid w:val="00000002"/>
    <w:lvl w:ilvl="0">
      <w:isLgl w:val="false"/>
      <w:lvlJc w:val="left"/>
      <w:lvlText w:val="%1."/>
      <w:numFmt w:val="decimal"/>
      <w:pPr>
        <w:pBdr/>
        <w:tabs>
          <w:tab w:val="num" w:leader="none" w:pos="0"/>
        </w:tabs>
        <w:spacing/>
        <w:ind w:hanging="405" w:left="405"/>
      </w:pPr>
      <w:rPr>
        <w:rFonts w:hint="default" w:cs="Times New Roman"/>
        <w:b/>
      </w:rPr>
      <w:start w:val="1"/>
      <w:suff w:val="tab"/>
    </w:lvl>
    <w:lvl w:ilvl="1">
      <w:isLgl w:val="false"/>
      <w:lvlJc w:val="left"/>
      <w:lvlText w:val="%1.%2."/>
      <w:numFmt w:val="decimal"/>
      <w:pPr>
        <w:pBdr/>
        <w:tabs>
          <w:tab w:val="num" w:leader="none" w:pos="0"/>
        </w:tabs>
        <w:spacing/>
        <w:ind w:hanging="405" w:left="405"/>
      </w:pPr>
      <w:rPr>
        <w:rFonts w:hint="default" w:cs="Times New Roman"/>
        <w:b/>
      </w:rPr>
      <w:start w:val="1"/>
      <w:suff w:val="tab"/>
    </w:lvl>
    <w:lvl w:ilvl="2">
      <w:isLgl w:val="false"/>
      <w:lvlJc w:val="left"/>
      <w:lvlText w:val="%1.%2.%3."/>
      <w:numFmt w:val="decimal"/>
      <w:pPr>
        <w:pBdr/>
        <w:tabs>
          <w:tab w:val="num" w:leader="none" w:pos="0"/>
        </w:tabs>
        <w:spacing/>
        <w:ind w:hanging="720" w:left="720"/>
      </w:pPr>
      <w:rPr>
        <w:rFonts w:hint="default" w:cs="Times New Roman"/>
        <w:b/>
      </w:rPr>
      <w:start w:val="1"/>
      <w:suff w:val="tab"/>
    </w:lvl>
    <w:lvl w:ilvl="3">
      <w:isLgl w:val="false"/>
      <w:lvlJc w:val="left"/>
      <w:lvlText w:val="%1.%2.%3.%4."/>
      <w:numFmt w:val="decimal"/>
      <w:pPr>
        <w:pBdr/>
        <w:tabs>
          <w:tab w:val="num" w:leader="none" w:pos="0"/>
        </w:tabs>
        <w:spacing/>
        <w:ind w:hanging="720" w:left="720"/>
      </w:pPr>
      <w:rPr>
        <w:rFonts w:hint="default" w:cs="Times New Roman"/>
        <w:b/>
      </w:rPr>
      <w:start w:val="1"/>
      <w:suff w:val="tab"/>
    </w:lvl>
    <w:lvl w:ilvl="4">
      <w:isLgl w:val="false"/>
      <w:lvlJc w:val="left"/>
      <w:lvlText w:val="%1.%2.%3.%4.%5."/>
      <w:numFmt w:val="decimal"/>
      <w:pPr>
        <w:pBdr/>
        <w:tabs>
          <w:tab w:val="num" w:leader="none" w:pos="0"/>
        </w:tabs>
        <w:spacing/>
        <w:ind w:hanging="1080" w:left="1080"/>
      </w:pPr>
      <w:rPr>
        <w:rFonts w:hint="default" w:cs="Times New Roman"/>
        <w:b/>
      </w:rPr>
      <w:start w:val="1"/>
      <w:suff w:val="tab"/>
    </w:lvl>
    <w:lvl w:ilvl="5">
      <w:isLgl w:val="false"/>
      <w:lvlJc w:val="left"/>
      <w:lvlText w:val="%1.%2.%3.%4.%5.%6."/>
      <w:numFmt w:val="decimal"/>
      <w:pPr>
        <w:pBdr/>
        <w:tabs>
          <w:tab w:val="num" w:leader="none" w:pos="0"/>
        </w:tabs>
        <w:spacing/>
        <w:ind w:hanging="1080" w:left="1080"/>
      </w:pPr>
      <w:rPr>
        <w:rFonts w:hint="default" w:cs="Times New Roman"/>
        <w:b/>
      </w:rPr>
      <w:start w:val="1"/>
      <w:suff w:val="tab"/>
    </w:lvl>
    <w:lvl w:ilvl="6">
      <w:isLgl w:val="false"/>
      <w:lvlJc w:val="left"/>
      <w:lvlText w:val="%1.%2.%3.%4.%5.%6.%7."/>
      <w:numFmt w:val="decimal"/>
      <w:pPr>
        <w:pBdr/>
        <w:tabs>
          <w:tab w:val="num" w:leader="none" w:pos="0"/>
        </w:tabs>
        <w:spacing/>
        <w:ind w:hanging="1440" w:left="1440"/>
      </w:pPr>
      <w:rPr>
        <w:rFonts w:hint="default" w:cs="Times New Roman"/>
        <w:b/>
      </w:rPr>
      <w:start w:val="1"/>
      <w:suff w:val="tab"/>
    </w:lvl>
    <w:lvl w:ilvl="7">
      <w:isLgl w:val="false"/>
      <w:lvlJc w:val="left"/>
      <w:lvlText w:val="%1.%2.%3.%4.%5.%6.%7.%8."/>
      <w:numFmt w:val="decimal"/>
      <w:pPr>
        <w:pBdr/>
        <w:tabs>
          <w:tab w:val="num" w:leader="none" w:pos="0"/>
        </w:tabs>
        <w:spacing/>
        <w:ind w:hanging="1440" w:left="1440"/>
      </w:pPr>
      <w:rPr>
        <w:rFonts w:hint="default" w:cs="Times New Roman"/>
        <w:b/>
      </w:rPr>
      <w:start w:val="1"/>
      <w:suff w:val="tab"/>
    </w:lvl>
    <w:lvl w:ilvl="8">
      <w:isLgl w:val="false"/>
      <w:lvlJc w:val="left"/>
      <w:lvlText w:val="%1.%2.%3.%4.%5.%6.%7.%8.%9."/>
      <w:numFmt w:val="decimal"/>
      <w:pPr>
        <w:pBdr/>
        <w:tabs>
          <w:tab w:val="num" w:leader="none" w:pos="0"/>
        </w:tabs>
        <w:spacing/>
        <w:ind w:hanging="1800" w:left="1800"/>
      </w:pPr>
      <w:rPr>
        <w:rFonts w:hint="default" w:cs="Times New Roman"/>
        <w:b/>
      </w:rPr>
      <w:start w:val="1"/>
      <w:suff w:val="tab"/>
    </w:lvl>
  </w:abstractNum>
  <w:abstractNum w:abstractNumId="3">
    <w:nsid w:val="00000003"/>
    <w:lvl w:ilvl="0">
      <w:isLgl w:val="false"/>
      <w:lvlJc w:val="left"/>
      <w:lvlText w:val="%1."/>
      <w:numFmt w:val="decimal"/>
      <w:pPr>
        <w:pBdr/>
        <w:tabs>
          <w:tab w:val="num" w:leader="none" w:pos="0"/>
        </w:tabs>
        <w:spacing/>
        <w:ind w:hanging="360" w:left="360"/>
      </w:pPr>
      <w:rPr>
        <w:rFonts w:hint="default"/>
      </w:rPr>
      <w:start w:val="1"/>
      <w:suff w:val="tab"/>
    </w:lvl>
    <w:lvl w:ilvl="1">
      <w:isLgl w:val="false"/>
      <w:lvlJc w:val="left"/>
      <w:lvlText w:val="%1.%2."/>
      <w:numFmt w:val="decimal"/>
      <w:pPr>
        <w:pBdr/>
        <w:tabs>
          <w:tab w:val="num" w:leader="none" w:pos="0"/>
        </w:tabs>
        <w:spacing/>
        <w:ind w:hanging="360" w:left="360"/>
      </w:pPr>
      <w:rPr>
        <w:rFonts w:hint="default" w:ascii="Arial" w:hAnsi="Arial" w:cs="Arial"/>
        <w:b/>
        <w:sz w:val="20"/>
        <w:szCs w:val="20"/>
      </w:rPr>
      <w:start w:val="1"/>
      <w:suff w:val="tab"/>
    </w:lvl>
    <w:lvl w:ilvl="2">
      <w:isLgl w:val="false"/>
      <w:lvlJc w:val="left"/>
      <w:lvlText w:val="%1.%2.%3."/>
      <w:numFmt w:val="decimal"/>
      <w:pPr>
        <w:pBdr/>
        <w:tabs>
          <w:tab w:val="num" w:leader="none" w:pos="0"/>
        </w:tabs>
        <w:spacing/>
        <w:ind w:hanging="720" w:left="720"/>
      </w:pPr>
      <w:rPr>
        <w:rFonts w:hint="default"/>
      </w:rPr>
      <w:start w:val="1"/>
      <w:suff w:val="tab"/>
    </w:lvl>
    <w:lvl w:ilvl="3">
      <w:isLgl w:val="false"/>
      <w:lvlJc w:val="left"/>
      <w:lvlText w:val="%1.%2.%3.%4."/>
      <w:numFmt w:val="decimal"/>
      <w:pPr>
        <w:pBdr/>
        <w:tabs>
          <w:tab w:val="num" w:leader="none" w:pos="0"/>
        </w:tabs>
        <w:spacing/>
        <w:ind w:hanging="720" w:left="720"/>
      </w:pPr>
      <w:rPr>
        <w:rFonts w:hint="default"/>
      </w:rPr>
      <w:start w:val="1"/>
      <w:suff w:val="tab"/>
    </w:lvl>
    <w:lvl w:ilvl="4">
      <w:isLgl w:val="false"/>
      <w:lvlJc w:val="left"/>
      <w:lvlText w:val="%1.%2.%3.%4.%5."/>
      <w:numFmt w:val="decimal"/>
      <w:pPr>
        <w:pBdr/>
        <w:tabs>
          <w:tab w:val="num" w:leader="none" w:pos="0"/>
        </w:tabs>
        <w:spacing/>
        <w:ind w:hanging="1080" w:left="1080"/>
      </w:pPr>
      <w:rPr>
        <w:rFonts w:hint="default"/>
      </w:rPr>
      <w:start w:val="1"/>
      <w:suff w:val="tab"/>
    </w:lvl>
    <w:lvl w:ilvl="5">
      <w:isLgl w:val="false"/>
      <w:lvlJc w:val="left"/>
      <w:lvlText w:val="%1.%2.%3.%4.%5.%6."/>
      <w:numFmt w:val="decimal"/>
      <w:pPr>
        <w:pBdr/>
        <w:tabs>
          <w:tab w:val="num" w:leader="none" w:pos="0"/>
        </w:tabs>
        <w:spacing/>
        <w:ind w:hanging="1080" w:left="1080"/>
      </w:pPr>
      <w:rPr>
        <w:rFonts w:hint="default"/>
      </w:rPr>
      <w:start w:val="1"/>
      <w:suff w:val="tab"/>
    </w:lvl>
    <w:lvl w:ilvl="6">
      <w:isLgl w:val="false"/>
      <w:lvlJc w:val="left"/>
      <w:lvlText w:val="%1.%2.%3.%4.%5.%6.%7."/>
      <w:numFmt w:val="decimal"/>
      <w:pPr>
        <w:pBdr/>
        <w:tabs>
          <w:tab w:val="num" w:leader="none" w:pos="0"/>
        </w:tabs>
        <w:spacing/>
        <w:ind w:hanging="1440" w:left="1440"/>
      </w:pPr>
      <w:rPr>
        <w:rFonts w:hint="default"/>
      </w:rPr>
      <w:start w:val="1"/>
      <w:suff w:val="tab"/>
    </w:lvl>
    <w:lvl w:ilvl="7">
      <w:isLgl w:val="false"/>
      <w:lvlJc w:val="left"/>
      <w:lvlText w:val="%1.%2.%3.%4.%5.%6.%7.%8."/>
      <w:numFmt w:val="decimal"/>
      <w:pPr>
        <w:pBdr/>
        <w:tabs>
          <w:tab w:val="num" w:leader="none" w:pos="0"/>
        </w:tabs>
        <w:spacing/>
        <w:ind w:hanging="1440" w:left="1440"/>
      </w:pPr>
      <w:rPr>
        <w:rFonts w:hint="default"/>
      </w:rPr>
      <w:start w:val="1"/>
      <w:suff w:val="tab"/>
    </w:lvl>
    <w:lvl w:ilvl="8">
      <w:isLgl w:val="false"/>
      <w:lvlJc w:val="left"/>
      <w:lvlText w:val="%1.%2.%3.%4.%5.%6.%7.%8.%9."/>
      <w:numFmt w:val="decimal"/>
      <w:pPr>
        <w:pBdr/>
        <w:tabs>
          <w:tab w:val="num" w:leader="none" w:pos="0"/>
        </w:tabs>
        <w:spacing/>
        <w:ind w:hanging="1800" w:left="1800"/>
      </w:pPr>
      <w:rPr>
        <w:rFonts w:hint="default"/>
      </w:rPr>
      <w:start w:val="1"/>
      <w:suff w:val="tab"/>
    </w:lvl>
  </w:abstractNum>
  <w:abstractNum w:abstractNumId="4">
    <w:nsid w:val="01606814"/>
    <w:lvl w:ilvl="0">
      <w:isLgl w:val="false"/>
      <w:lvlJc w:val="left"/>
      <w:lvlText w:val="%1."/>
      <w:numFmt w:val="decimal"/>
      <w:pPr>
        <w:pBdr/>
        <w:tabs>
          <w:tab w:val="num" w:leader="none" w:pos="720"/>
        </w:tabs>
        <w:spacing/>
        <w:ind w:hanging="360" w:left="720"/>
      </w:pPr>
      <w:rPr/>
      <w:start w:val="7"/>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5">
    <w:nsid w:val="02883EA1"/>
    <w:lvl w:ilvl="0">
      <w:isLgl w:val="false"/>
      <w:lvlJc w:val="left"/>
      <w:lvlText w:val="%1."/>
      <w:numFmt w:val="decimal"/>
      <w:pPr>
        <w:pBdr/>
        <w:spacing/>
        <w:ind w:hanging="360" w:left="360"/>
      </w:pPr>
      <w:rPr>
        <w:rFonts w:hint="default"/>
      </w:rPr>
      <w:start w:val="1"/>
      <w:suff w:val="tab"/>
    </w:lvl>
    <w:lvl w:ilvl="1">
      <w:isLgl w:val="false"/>
      <w:lvlJc w:val="left"/>
      <w:lvlText w:val="%1.%2."/>
      <w:numFmt w:val="decimal"/>
      <w:pPr>
        <w:pBdr/>
        <w:spacing/>
        <w:ind w:hanging="360" w:left="1800"/>
      </w:pPr>
      <w:rPr>
        <w:rFonts w:hint="default"/>
      </w:rPr>
      <w:start w:val="1"/>
      <w:suff w:val="tab"/>
    </w:lvl>
    <w:lvl w:ilvl="2">
      <w:isLgl w:val="false"/>
      <w:lvlJc w:val="left"/>
      <w:lvlText w:val="%1.%2.%3."/>
      <w:numFmt w:val="decimal"/>
      <w:pPr>
        <w:pBdr/>
        <w:spacing/>
        <w:ind w:hanging="720" w:left="3600"/>
      </w:pPr>
      <w:rPr>
        <w:rFonts w:hint="default"/>
      </w:rPr>
      <w:start w:val="1"/>
      <w:suff w:val="tab"/>
    </w:lvl>
    <w:lvl w:ilvl="3">
      <w:isLgl w:val="false"/>
      <w:lvlJc w:val="left"/>
      <w:lvlText w:val="%1.%2.%3.%4."/>
      <w:numFmt w:val="decimal"/>
      <w:pPr>
        <w:pBdr/>
        <w:spacing/>
        <w:ind w:hanging="720" w:left="5040"/>
      </w:pPr>
      <w:rPr>
        <w:rFonts w:hint="default"/>
      </w:rPr>
      <w:start w:val="1"/>
      <w:suff w:val="tab"/>
    </w:lvl>
    <w:lvl w:ilvl="4">
      <w:isLgl w:val="false"/>
      <w:lvlJc w:val="left"/>
      <w:lvlText w:val="%1.%2.%3.%4.%5."/>
      <w:numFmt w:val="decimal"/>
      <w:pPr>
        <w:pBdr/>
        <w:spacing/>
        <w:ind w:hanging="1080" w:left="6840"/>
      </w:pPr>
      <w:rPr>
        <w:rFonts w:hint="default"/>
      </w:rPr>
      <w:start w:val="1"/>
      <w:suff w:val="tab"/>
    </w:lvl>
    <w:lvl w:ilvl="5">
      <w:isLgl w:val="false"/>
      <w:lvlJc w:val="left"/>
      <w:lvlText w:val="%1.%2.%3.%4.%5.%6."/>
      <w:numFmt w:val="decimal"/>
      <w:pPr>
        <w:pBdr/>
        <w:spacing/>
        <w:ind w:hanging="1080" w:left="8280"/>
      </w:pPr>
      <w:rPr>
        <w:rFonts w:hint="default"/>
      </w:rPr>
      <w:start w:val="1"/>
      <w:suff w:val="tab"/>
    </w:lvl>
    <w:lvl w:ilvl="6">
      <w:isLgl w:val="false"/>
      <w:lvlJc w:val="left"/>
      <w:lvlText w:val="%1.%2.%3.%4.%5.%6.%7."/>
      <w:numFmt w:val="decimal"/>
      <w:pPr>
        <w:pBdr/>
        <w:spacing/>
        <w:ind w:hanging="1440" w:left="10080"/>
      </w:pPr>
      <w:rPr>
        <w:rFonts w:hint="default"/>
      </w:rPr>
      <w:start w:val="1"/>
      <w:suff w:val="tab"/>
    </w:lvl>
    <w:lvl w:ilvl="7">
      <w:isLgl w:val="false"/>
      <w:lvlJc w:val="left"/>
      <w:lvlText w:val="%1.%2.%3.%4.%5.%6.%7.%8."/>
      <w:numFmt w:val="decimal"/>
      <w:pPr>
        <w:pBdr/>
        <w:spacing/>
        <w:ind w:hanging="1440" w:left="11520"/>
      </w:pPr>
      <w:rPr>
        <w:rFonts w:hint="default"/>
      </w:rPr>
      <w:start w:val="1"/>
      <w:suff w:val="tab"/>
    </w:lvl>
    <w:lvl w:ilvl="8">
      <w:isLgl w:val="false"/>
      <w:lvlJc w:val="left"/>
      <w:lvlText w:val="%1.%2.%3.%4.%5.%6.%7.%8.%9."/>
      <w:numFmt w:val="decimal"/>
      <w:pPr>
        <w:pBdr/>
        <w:spacing/>
        <w:ind w:hanging="1800" w:left="13320"/>
      </w:pPr>
      <w:rPr>
        <w:rFonts w:hint="default"/>
      </w:rPr>
      <w:start w:val="1"/>
      <w:suff w:val="tab"/>
    </w:lvl>
  </w:abstractNum>
  <w:abstractNum w:abstractNumId="6">
    <w:nsid w:val="0C456A54"/>
    <w:lvl w:ilvl="0">
      <w:isLgl w:val="false"/>
      <w:lvlJc w:val="left"/>
      <w:lvlText w:val="%1."/>
      <w:numFmt w:val="decimal"/>
      <w:pPr>
        <w:pBdr/>
        <w:spacing/>
        <w:ind w:hanging="360" w:left="360"/>
      </w:pPr>
      <w:rPr>
        <w:rFonts w:hint="default"/>
      </w:rPr>
      <w:start w:val="6"/>
      <w:suff w:val="tab"/>
    </w:lvl>
    <w:lvl w:ilvl="1">
      <w:isLgl w:val="false"/>
      <w:lvlJc w:val="left"/>
      <w:lvlText w:val="%1.%2."/>
      <w:numFmt w:val="decimal"/>
      <w:pPr>
        <w:pBdr/>
        <w:spacing/>
        <w:ind w:hanging="360" w:left="360"/>
      </w:pPr>
      <w:rPr>
        <w:rFonts w:hint="default"/>
      </w:rPr>
      <w:start w:val="1"/>
      <w:suff w:val="tab"/>
    </w:lvl>
    <w:lvl w:ilvl="2">
      <w:isLgl w:val="false"/>
      <w:lvlJc w:val="left"/>
      <w:lvlText w:val="%1.%2.%3."/>
      <w:numFmt w:val="decimal"/>
      <w:pPr>
        <w:pBdr/>
        <w:spacing/>
        <w:ind w:hanging="720" w:left="720"/>
      </w:pPr>
      <w:rPr>
        <w:rFonts w:hint="default"/>
      </w:rPr>
      <w:start w:val="1"/>
      <w:suff w:val="tab"/>
    </w:lvl>
    <w:lvl w:ilvl="3">
      <w:isLgl w:val="false"/>
      <w:lvlJc w:val="left"/>
      <w:lvlText w:val="%1.%2.%3.%4."/>
      <w:numFmt w:val="decimal"/>
      <w:pPr>
        <w:pBdr/>
        <w:spacing/>
        <w:ind w:hanging="720" w:left="720"/>
      </w:pPr>
      <w:rPr>
        <w:rFonts w:hint="default"/>
      </w:rPr>
      <w:start w:val="1"/>
      <w:suff w:val="tab"/>
    </w:lvl>
    <w:lvl w:ilvl="4">
      <w:isLgl w:val="false"/>
      <w:lvlJc w:val="left"/>
      <w:lvlText w:val="%1.%2.%3.%4.%5."/>
      <w:numFmt w:val="decimal"/>
      <w:pPr>
        <w:pBdr/>
        <w:spacing/>
        <w:ind w:hanging="1080" w:left="1080"/>
      </w:pPr>
      <w:rPr>
        <w:rFonts w:hint="default"/>
      </w:rPr>
      <w:start w:val="1"/>
      <w:suff w:val="tab"/>
    </w:lvl>
    <w:lvl w:ilvl="5">
      <w:isLgl w:val="false"/>
      <w:lvlJc w:val="left"/>
      <w:lvlText w:val="%1.%2.%3.%4.%5.%6."/>
      <w:numFmt w:val="decimal"/>
      <w:pPr>
        <w:pBdr/>
        <w:spacing/>
        <w:ind w:hanging="1080" w:left="1080"/>
      </w:pPr>
      <w:rPr>
        <w:rFonts w:hint="default"/>
      </w:rPr>
      <w:start w:val="1"/>
      <w:suff w:val="tab"/>
    </w:lvl>
    <w:lvl w:ilvl="6">
      <w:isLgl w:val="false"/>
      <w:lvlJc w:val="left"/>
      <w:lvlText w:val="%1.%2.%3.%4.%5.%6.%7."/>
      <w:numFmt w:val="decimal"/>
      <w:pPr>
        <w:pBdr/>
        <w:spacing/>
        <w:ind w:hanging="1440" w:left="1440"/>
      </w:pPr>
      <w:rPr>
        <w:rFonts w:hint="default"/>
      </w:rPr>
      <w:start w:val="1"/>
      <w:suff w:val="tab"/>
    </w:lvl>
    <w:lvl w:ilvl="7">
      <w:isLgl w:val="false"/>
      <w:lvlJc w:val="left"/>
      <w:lvlText w:val="%1.%2.%3.%4.%5.%6.%7.%8."/>
      <w:numFmt w:val="decimal"/>
      <w:pPr>
        <w:pBdr/>
        <w:spacing/>
        <w:ind w:hanging="1440" w:left="1440"/>
      </w:pPr>
      <w:rPr>
        <w:rFonts w:hint="default"/>
      </w:rPr>
      <w:start w:val="1"/>
      <w:suff w:val="tab"/>
    </w:lvl>
    <w:lvl w:ilvl="8">
      <w:isLgl w:val="false"/>
      <w:lvlJc w:val="left"/>
      <w:lvlText w:val="%1.%2.%3.%4.%5.%6.%7.%8.%9."/>
      <w:numFmt w:val="decimal"/>
      <w:pPr>
        <w:pBdr/>
        <w:spacing/>
        <w:ind w:hanging="1800" w:left="1800"/>
      </w:pPr>
      <w:rPr>
        <w:rFonts w:hint="default"/>
      </w:rPr>
      <w:start w:val="1"/>
      <w:suff w:val="tab"/>
    </w:lvl>
  </w:abstractNum>
  <w:abstractNum w:abstractNumId="7">
    <w:nsid w:val="0DE5386B"/>
    <w:lvl w:ilvl="0">
      <w:isLgl w:val="false"/>
      <w:lvlJc w:val="left"/>
      <w:lvlText w:val=""/>
      <w:numFmt w:val="none"/>
      <w:pPr>
        <w:pBdr/>
        <w:tabs>
          <w:tab w:val="num" w:leader="none" w:pos="0"/>
        </w:tabs>
        <w:spacing/>
        <w:ind w:firstLine="0" w:left="0"/>
      </w:pPr>
      <w:rPr/>
      <w:start w:val="1"/>
      <w:suff w:val="nothing"/>
    </w:lvl>
    <w:lvl w:ilvl="1">
      <w:isLgl w:val="false"/>
      <w:lvlJc w:val="left"/>
      <w:lvlText w:val=""/>
      <w:numFmt w:val="none"/>
      <w:pPr>
        <w:pBdr/>
        <w:tabs>
          <w:tab w:val="num" w:leader="none" w:pos="0"/>
        </w:tabs>
        <w:spacing/>
        <w:ind w:firstLine="0" w:left="0"/>
      </w:pPr>
      <w:rPr/>
      <w:start w:val="1"/>
      <w:suff w:val="nothing"/>
    </w:lvl>
    <w:lvl w:ilvl="2">
      <w:isLgl w:val="false"/>
      <w:lvlJc w:val="left"/>
      <w:lvlText w:val=""/>
      <w:numFmt w:val="none"/>
      <w:pPr>
        <w:pBdr/>
        <w:tabs>
          <w:tab w:val="num" w:leader="none" w:pos="0"/>
        </w:tabs>
        <w:spacing/>
        <w:ind w:firstLine="0" w:left="0"/>
      </w:pPr>
      <w:rPr/>
      <w:start w:val="1"/>
      <w:suff w:val="nothing"/>
    </w:lvl>
    <w:lvl w:ilvl="3">
      <w:isLgl w:val="false"/>
      <w:lvlJc w:val="left"/>
      <w:lvlText w:val=""/>
      <w:numFmt w:val="none"/>
      <w:pPr>
        <w:pBdr/>
        <w:tabs>
          <w:tab w:val="num" w:leader="none" w:pos="0"/>
        </w:tabs>
        <w:spacing/>
        <w:ind w:firstLine="0" w:left="0"/>
      </w:pPr>
      <w:rPr/>
      <w:start w:val="1"/>
      <w:suff w:val="nothing"/>
    </w:lvl>
    <w:lvl w:ilvl="4">
      <w:isLgl w:val="false"/>
      <w:lvlJc w:val="left"/>
      <w:lvlText w:val=""/>
      <w:numFmt w:val="none"/>
      <w:pPr>
        <w:pBdr/>
        <w:tabs>
          <w:tab w:val="num" w:leader="none" w:pos="0"/>
        </w:tabs>
        <w:spacing/>
        <w:ind w:firstLine="0" w:left="0"/>
      </w:pPr>
      <w:rPr/>
      <w:start w:val="1"/>
      <w:suff w:val="nothing"/>
    </w:lvl>
    <w:lvl w:ilvl="5">
      <w:isLgl w:val="false"/>
      <w:lvlJc w:val="left"/>
      <w:lvlText w:val=""/>
      <w:numFmt w:val="none"/>
      <w:pPr>
        <w:pBdr/>
        <w:tabs>
          <w:tab w:val="num" w:leader="none" w:pos="0"/>
        </w:tabs>
        <w:spacing/>
        <w:ind w:firstLine="0" w:left="0"/>
      </w:pPr>
      <w:rPr/>
      <w:start w:val="1"/>
      <w:suff w:val="nothing"/>
    </w:lvl>
    <w:lvl w:ilvl="6">
      <w:isLgl w:val="false"/>
      <w:lvlJc w:val="left"/>
      <w:lvlText w:val=""/>
      <w:numFmt w:val="none"/>
      <w:pPr>
        <w:pBdr/>
        <w:tabs>
          <w:tab w:val="num" w:leader="none" w:pos="0"/>
        </w:tabs>
        <w:spacing/>
        <w:ind w:firstLine="0" w:left="0"/>
      </w:pPr>
      <w:rPr/>
      <w:start w:val="1"/>
      <w:suff w:val="nothing"/>
    </w:lvl>
    <w:lvl w:ilvl="7">
      <w:isLgl w:val="false"/>
      <w:lvlJc w:val="left"/>
      <w:lvlText w:val=""/>
      <w:numFmt w:val="none"/>
      <w:pPr>
        <w:pBdr/>
        <w:tabs>
          <w:tab w:val="num" w:leader="none" w:pos="0"/>
        </w:tabs>
        <w:spacing/>
        <w:ind w:firstLine="0" w:left="0"/>
      </w:pPr>
      <w:rPr/>
      <w:start w:val="1"/>
      <w:suff w:val="nothing"/>
    </w:lvl>
    <w:lvl w:ilvl="8">
      <w:isLgl w:val="false"/>
      <w:lvlJc w:val="left"/>
      <w:lvlText w:val=""/>
      <w:numFmt w:val="none"/>
      <w:pPr>
        <w:pBdr/>
        <w:tabs>
          <w:tab w:val="num" w:leader="none" w:pos="0"/>
        </w:tabs>
        <w:spacing/>
        <w:ind w:firstLine="0" w:left="0"/>
      </w:pPr>
      <w:rPr/>
      <w:start w:val="1"/>
      <w:suff w:val="nothing"/>
    </w:lvl>
  </w:abstractNum>
  <w:abstractNum w:abstractNumId="8">
    <w:nsid w:val="0FBC45AB"/>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9">
    <w:nsid w:val="1036183D"/>
    <w:lvl w:ilvl="0">
      <w:isLgl w:val="false"/>
      <w:lvlJc w:val="left"/>
      <w:lvlText w:val="%1."/>
      <w:numFmt w:val="decimal"/>
      <w:pPr>
        <w:pBdr/>
        <w:spacing/>
        <w:ind w:hanging="360" w:left="360"/>
      </w:pPr>
      <w:rPr>
        <w:rFonts w:hint="default"/>
      </w:rPr>
      <w:start w:val="5"/>
      <w:suff w:val="tab"/>
    </w:lvl>
    <w:lvl w:ilvl="1">
      <w:isLgl w:val="false"/>
      <w:lvlJc w:val="left"/>
      <w:lvlText w:val="%1.%2."/>
      <w:numFmt w:val="decimal"/>
      <w:pPr>
        <w:pBdr/>
        <w:spacing/>
        <w:ind w:hanging="360" w:left="360"/>
      </w:pPr>
      <w:rPr>
        <w:rFonts w:hint="default"/>
      </w:rPr>
      <w:start w:val="1"/>
      <w:suff w:val="tab"/>
    </w:lvl>
    <w:lvl w:ilvl="2">
      <w:isLgl w:val="false"/>
      <w:lvlJc w:val="left"/>
      <w:lvlText w:val="%1.%2.%3."/>
      <w:numFmt w:val="decimal"/>
      <w:pPr>
        <w:pBdr/>
        <w:spacing/>
        <w:ind w:hanging="720" w:left="720"/>
      </w:pPr>
      <w:rPr>
        <w:rFonts w:hint="default"/>
      </w:rPr>
      <w:start w:val="1"/>
      <w:suff w:val="tab"/>
    </w:lvl>
    <w:lvl w:ilvl="3">
      <w:isLgl w:val="false"/>
      <w:lvlJc w:val="left"/>
      <w:lvlText w:val="%1.%2.%3.%4."/>
      <w:numFmt w:val="decimal"/>
      <w:pPr>
        <w:pBdr/>
        <w:spacing/>
        <w:ind w:hanging="720" w:left="720"/>
      </w:pPr>
      <w:rPr>
        <w:rFonts w:hint="default"/>
      </w:rPr>
      <w:start w:val="1"/>
      <w:suff w:val="tab"/>
    </w:lvl>
    <w:lvl w:ilvl="4">
      <w:isLgl w:val="false"/>
      <w:lvlJc w:val="left"/>
      <w:lvlText w:val="%1.%2.%3.%4.%5."/>
      <w:numFmt w:val="decimal"/>
      <w:pPr>
        <w:pBdr/>
        <w:spacing/>
        <w:ind w:hanging="1080" w:left="1080"/>
      </w:pPr>
      <w:rPr>
        <w:rFonts w:hint="default"/>
      </w:rPr>
      <w:start w:val="1"/>
      <w:suff w:val="tab"/>
    </w:lvl>
    <w:lvl w:ilvl="5">
      <w:isLgl w:val="false"/>
      <w:lvlJc w:val="left"/>
      <w:lvlText w:val="%1.%2.%3.%4.%5.%6."/>
      <w:numFmt w:val="decimal"/>
      <w:pPr>
        <w:pBdr/>
        <w:spacing/>
        <w:ind w:hanging="1080" w:left="1080"/>
      </w:pPr>
      <w:rPr>
        <w:rFonts w:hint="default"/>
      </w:rPr>
      <w:start w:val="1"/>
      <w:suff w:val="tab"/>
    </w:lvl>
    <w:lvl w:ilvl="6">
      <w:isLgl w:val="false"/>
      <w:lvlJc w:val="left"/>
      <w:lvlText w:val="%1.%2.%3.%4.%5.%6.%7."/>
      <w:numFmt w:val="decimal"/>
      <w:pPr>
        <w:pBdr/>
        <w:spacing/>
        <w:ind w:hanging="1440" w:left="1440"/>
      </w:pPr>
      <w:rPr>
        <w:rFonts w:hint="default"/>
      </w:rPr>
      <w:start w:val="1"/>
      <w:suff w:val="tab"/>
    </w:lvl>
    <w:lvl w:ilvl="7">
      <w:isLgl w:val="false"/>
      <w:lvlJc w:val="left"/>
      <w:lvlText w:val="%1.%2.%3.%4.%5.%6.%7.%8."/>
      <w:numFmt w:val="decimal"/>
      <w:pPr>
        <w:pBdr/>
        <w:spacing/>
        <w:ind w:hanging="1440" w:left="1440"/>
      </w:pPr>
      <w:rPr>
        <w:rFonts w:hint="default"/>
      </w:rPr>
      <w:start w:val="1"/>
      <w:suff w:val="tab"/>
    </w:lvl>
    <w:lvl w:ilvl="8">
      <w:isLgl w:val="false"/>
      <w:lvlJc w:val="left"/>
      <w:lvlText w:val="%1.%2.%3.%4.%5.%6.%7.%8.%9."/>
      <w:numFmt w:val="decimal"/>
      <w:pPr>
        <w:pBdr/>
        <w:spacing/>
        <w:ind w:hanging="1800" w:left="1800"/>
      </w:pPr>
      <w:rPr>
        <w:rFonts w:hint="default"/>
      </w:rPr>
      <w:start w:val="1"/>
      <w:suff w:val="tab"/>
    </w:lvl>
  </w:abstractNum>
  <w:abstractNum w:abstractNumId="10">
    <w:nsid w:val="10D850B4"/>
    <w:lvl w:ilvl="0">
      <w:isLgl w:val="false"/>
      <w:lvlJc w:val="left"/>
      <w:lvlText w:val="%1."/>
      <w:numFmt w:val="decimal"/>
      <w:pPr>
        <w:pBdr/>
        <w:tabs>
          <w:tab w:val="num" w:leader="none" w:pos="0"/>
        </w:tabs>
        <w:spacing/>
        <w:ind w:hanging="405" w:left="405"/>
      </w:pPr>
      <w:rPr>
        <w:b/>
      </w:rPr>
      <w:start w:val="1"/>
      <w:suff w:val="tab"/>
    </w:lvl>
    <w:lvl w:ilvl="1">
      <w:isLgl w:val="false"/>
      <w:lvlJc w:val="left"/>
      <w:lvlText w:val="%1.%2."/>
      <w:numFmt w:val="decimal"/>
      <w:pPr>
        <w:pBdr/>
        <w:tabs>
          <w:tab w:val="num" w:leader="none" w:pos="0"/>
        </w:tabs>
        <w:spacing/>
        <w:ind w:hanging="405" w:left="405"/>
      </w:pPr>
      <w:rPr>
        <w:b/>
      </w:rPr>
      <w:start w:val="1"/>
      <w:suff w:val="tab"/>
    </w:lvl>
    <w:lvl w:ilvl="2">
      <w:isLgl w:val="false"/>
      <w:lvlJc w:val="left"/>
      <w:lvlText w:val="%1.%2.%3."/>
      <w:numFmt w:val="decimal"/>
      <w:pPr>
        <w:pBdr/>
        <w:tabs>
          <w:tab w:val="num" w:leader="none" w:pos="0"/>
        </w:tabs>
        <w:spacing/>
        <w:ind w:hanging="720" w:left="720"/>
      </w:pPr>
      <w:rPr>
        <w:b/>
      </w:rPr>
      <w:start w:val="1"/>
      <w:suff w:val="tab"/>
    </w:lvl>
    <w:lvl w:ilvl="3">
      <w:isLgl w:val="false"/>
      <w:lvlJc w:val="left"/>
      <w:lvlText w:val="%1.%2.%3.%4."/>
      <w:numFmt w:val="decimal"/>
      <w:pPr>
        <w:pBdr/>
        <w:tabs>
          <w:tab w:val="num" w:leader="none" w:pos="0"/>
        </w:tabs>
        <w:spacing/>
        <w:ind w:hanging="720" w:left="720"/>
      </w:pPr>
      <w:rPr>
        <w:b/>
      </w:rPr>
      <w:start w:val="1"/>
      <w:suff w:val="tab"/>
    </w:lvl>
    <w:lvl w:ilvl="4">
      <w:isLgl w:val="false"/>
      <w:lvlJc w:val="left"/>
      <w:lvlText w:val="%1.%2.%3.%4.%5."/>
      <w:numFmt w:val="decimal"/>
      <w:pPr>
        <w:pBdr/>
        <w:tabs>
          <w:tab w:val="num" w:leader="none" w:pos="0"/>
        </w:tabs>
        <w:spacing/>
        <w:ind w:hanging="1080" w:left="1080"/>
      </w:pPr>
      <w:rPr>
        <w:b/>
      </w:rPr>
      <w:start w:val="1"/>
      <w:suff w:val="tab"/>
    </w:lvl>
    <w:lvl w:ilvl="5">
      <w:isLgl w:val="false"/>
      <w:lvlJc w:val="left"/>
      <w:lvlText w:val="%1.%2.%3.%4.%5.%6."/>
      <w:numFmt w:val="decimal"/>
      <w:pPr>
        <w:pBdr/>
        <w:tabs>
          <w:tab w:val="num" w:leader="none" w:pos="0"/>
        </w:tabs>
        <w:spacing/>
        <w:ind w:hanging="1080" w:left="1080"/>
      </w:pPr>
      <w:rPr>
        <w:b/>
      </w:rPr>
      <w:start w:val="1"/>
      <w:suff w:val="tab"/>
    </w:lvl>
    <w:lvl w:ilvl="6">
      <w:isLgl w:val="false"/>
      <w:lvlJc w:val="left"/>
      <w:lvlText w:val="%1.%2.%3.%4.%5.%6.%7."/>
      <w:numFmt w:val="decimal"/>
      <w:pPr>
        <w:pBdr/>
        <w:tabs>
          <w:tab w:val="num" w:leader="none" w:pos="0"/>
        </w:tabs>
        <w:spacing/>
        <w:ind w:hanging="1440" w:left="1440"/>
      </w:pPr>
      <w:rPr>
        <w:b/>
      </w:rPr>
      <w:start w:val="1"/>
      <w:suff w:val="tab"/>
    </w:lvl>
    <w:lvl w:ilvl="7">
      <w:isLgl w:val="false"/>
      <w:lvlJc w:val="left"/>
      <w:lvlText w:val="%1.%2.%3.%4.%5.%6.%7.%8."/>
      <w:numFmt w:val="decimal"/>
      <w:pPr>
        <w:pBdr/>
        <w:tabs>
          <w:tab w:val="num" w:leader="none" w:pos="0"/>
        </w:tabs>
        <w:spacing/>
        <w:ind w:hanging="1440" w:left="1440"/>
      </w:pPr>
      <w:rPr>
        <w:b/>
      </w:rPr>
      <w:start w:val="1"/>
      <w:suff w:val="tab"/>
    </w:lvl>
    <w:lvl w:ilvl="8">
      <w:isLgl w:val="false"/>
      <w:lvlJc w:val="left"/>
      <w:lvlText w:val="%1.%2.%3.%4.%5.%6.%7.%8.%9."/>
      <w:numFmt w:val="decimal"/>
      <w:pPr>
        <w:pBdr/>
        <w:tabs>
          <w:tab w:val="num" w:leader="none" w:pos="0"/>
        </w:tabs>
        <w:spacing/>
        <w:ind w:hanging="1800" w:left="1800"/>
      </w:pPr>
      <w:rPr>
        <w:b/>
      </w:rPr>
      <w:start w:val="1"/>
      <w:suff w:val="tab"/>
    </w:lvl>
  </w:abstractNum>
  <w:abstractNum w:abstractNumId="11">
    <w:nsid w:val="10EB3070"/>
    <w:lvl w:ilvl="0">
      <w:isLgl w:val="false"/>
      <w:lvlJc w:val="left"/>
      <w:lvlText w:val="%1."/>
      <w:numFmt w:val="decimal"/>
      <w:pPr>
        <w:pBdr/>
        <w:tabs>
          <w:tab w:val="num" w:leader="none" w:pos="720"/>
        </w:tabs>
        <w:spacing/>
        <w:ind w:hanging="360" w:left="720"/>
      </w:pPr>
      <w:rPr/>
      <w:start w:val="11"/>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12">
    <w:nsid w:val="13D344A9"/>
    <w:lvl w:ilvl="0">
      <w:isLgl w:val="false"/>
      <w:lvlJc w:val="left"/>
      <w:lvlText w:val="%1)"/>
      <w:numFmt w:val="lowerLetter"/>
      <w:pPr>
        <w:pBdr/>
        <w:tabs>
          <w:tab w:val="num" w:leader="none" w:pos="0"/>
        </w:tabs>
        <w:spacing/>
        <w:ind w:hanging="360" w:left="720"/>
      </w:pPr>
      <w:rPr/>
      <w:start w:val="1"/>
      <w:suff w:val="tab"/>
    </w:lvl>
    <w:lvl w:ilvl="1">
      <w:isLgl w:val="false"/>
      <w:lvlJc w:val="left"/>
      <w:lvlText w:val="%2."/>
      <w:numFmt w:val="lowerLetter"/>
      <w:pPr>
        <w:pBdr/>
        <w:tabs>
          <w:tab w:val="num" w:leader="none" w:pos="0"/>
        </w:tabs>
        <w:spacing/>
        <w:ind w:hanging="360" w:left="1440"/>
      </w:pPr>
      <w:rPr/>
      <w:start w:val="1"/>
      <w:suff w:val="tab"/>
    </w:lvl>
    <w:lvl w:ilvl="2">
      <w:isLgl w:val="false"/>
      <w:lvlJc w:val="right"/>
      <w:lvlText w:val="%3."/>
      <w:numFmt w:val="lowerRoman"/>
      <w:pPr>
        <w:pBdr/>
        <w:tabs>
          <w:tab w:val="num" w:leader="none" w:pos="0"/>
        </w:tabs>
        <w:spacing/>
        <w:ind w:hanging="180" w:left="2160"/>
      </w:pPr>
      <w:rPr/>
      <w:start w:val="1"/>
      <w:suff w:val="tab"/>
    </w:lvl>
    <w:lvl w:ilvl="3">
      <w:isLgl w:val="false"/>
      <w:lvlJc w:val="left"/>
      <w:lvlText w:val="%4."/>
      <w:numFmt w:val="decimal"/>
      <w:pPr>
        <w:pBdr/>
        <w:tabs>
          <w:tab w:val="num" w:leader="none" w:pos="0"/>
        </w:tabs>
        <w:spacing/>
        <w:ind w:hanging="360" w:left="2880"/>
      </w:pPr>
      <w:rPr/>
      <w:start w:val="1"/>
      <w:suff w:val="tab"/>
    </w:lvl>
    <w:lvl w:ilvl="4">
      <w:isLgl w:val="false"/>
      <w:lvlJc w:val="left"/>
      <w:lvlText w:val="%5."/>
      <w:numFmt w:val="lowerLetter"/>
      <w:pPr>
        <w:pBdr/>
        <w:tabs>
          <w:tab w:val="num" w:leader="none" w:pos="0"/>
        </w:tabs>
        <w:spacing/>
        <w:ind w:hanging="360" w:left="3600"/>
      </w:pPr>
      <w:rPr/>
      <w:start w:val="1"/>
      <w:suff w:val="tab"/>
    </w:lvl>
    <w:lvl w:ilvl="5">
      <w:isLgl w:val="false"/>
      <w:lvlJc w:val="right"/>
      <w:lvlText w:val="%6."/>
      <w:numFmt w:val="lowerRoman"/>
      <w:pPr>
        <w:pBdr/>
        <w:tabs>
          <w:tab w:val="num" w:leader="none" w:pos="0"/>
        </w:tabs>
        <w:spacing/>
        <w:ind w:hanging="180" w:left="4320"/>
      </w:pPr>
      <w:rPr/>
      <w:start w:val="1"/>
      <w:suff w:val="tab"/>
    </w:lvl>
    <w:lvl w:ilvl="6">
      <w:isLgl w:val="false"/>
      <w:lvlJc w:val="left"/>
      <w:lvlText w:val="%7."/>
      <w:numFmt w:val="decimal"/>
      <w:pPr>
        <w:pBdr/>
        <w:tabs>
          <w:tab w:val="num" w:leader="none" w:pos="0"/>
        </w:tabs>
        <w:spacing/>
        <w:ind w:hanging="360" w:left="5040"/>
      </w:pPr>
      <w:rPr/>
      <w:start w:val="1"/>
      <w:suff w:val="tab"/>
    </w:lvl>
    <w:lvl w:ilvl="7">
      <w:isLgl w:val="false"/>
      <w:lvlJc w:val="left"/>
      <w:lvlText w:val="%8."/>
      <w:numFmt w:val="lowerLetter"/>
      <w:pPr>
        <w:pBdr/>
        <w:tabs>
          <w:tab w:val="num" w:leader="none" w:pos="0"/>
        </w:tabs>
        <w:spacing/>
        <w:ind w:hanging="360" w:left="5760"/>
      </w:pPr>
      <w:rPr/>
      <w:start w:val="1"/>
      <w:suff w:val="tab"/>
    </w:lvl>
    <w:lvl w:ilvl="8">
      <w:isLgl w:val="false"/>
      <w:lvlJc w:val="right"/>
      <w:lvlText w:val="%9."/>
      <w:numFmt w:val="lowerRoman"/>
      <w:pPr>
        <w:pBdr/>
        <w:tabs>
          <w:tab w:val="num" w:leader="none" w:pos="0"/>
        </w:tabs>
        <w:spacing/>
        <w:ind w:hanging="180" w:left="6480"/>
      </w:pPr>
      <w:rPr/>
      <w:start w:val="1"/>
      <w:suff w:val="tab"/>
    </w:lvl>
  </w:abstractNum>
  <w:abstractNum w:abstractNumId="13">
    <w:nsid w:val="14227ED3"/>
    <w:lvl w:ilvl="0">
      <w:isLgl w:val="false"/>
      <w:lvlJc w:val="left"/>
      <w:lvlText w:val="●"/>
      <w:numFmt w:val="bullet"/>
      <w:pPr>
        <w:pBdr/>
        <w:tabs>
          <w:tab w:val="num" w:leader="none" w:pos="0"/>
        </w:tabs>
        <w:spacing/>
        <w:ind w:hanging="360" w:left="720"/>
      </w:pPr>
      <w:rPr>
        <w:rFonts w:hint="default" w:ascii="Noto Sans Symbols" w:hAnsi="Noto Sans Symbols" w:cs="Noto Sans Symbols"/>
      </w:rPr>
      <w:start w:val="1"/>
      <w:suff w:val="tab"/>
    </w:lvl>
    <w:lvl w:ilvl="1">
      <w:isLgl w:val="false"/>
      <w:lvlJc w:val="left"/>
      <w:lvlText w:val="o"/>
      <w:numFmt w:val="bullet"/>
      <w:pPr>
        <w:pBdr/>
        <w:tabs>
          <w:tab w:val="num" w:leader="none" w:pos="0"/>
        </w:tabs>
        <w:spacing/>
        <w:ind w:hanging="360" w:left="1440"/>
      </w:pPr>
      <w:rPr>
        <w:rFonts w:hint="default" w:ascii="Courier New" w:hAnsi="Courier New" w:cs="Courier New"/>
      </w:rPr>
      <w:start w:val="1"/>
      <w:suff w:val="tab"/>
    </w:lvl>
    <w:lvl w:ilvl="2">
      <w:isLgl w:val="false"/>
      <w:lvlJc w:val="left"/>
      <w:lvlText w:val="▪"/>
      <w:numFmt w:val="bullet"/>
      <w:pPr>
        <w:pBdr/>
        <w:tabs>
          <w:tab w:val="num" w:leader="none" w:pos="0"/>
        </w:tabs>
        <w:spacing/>
        <w:ind w:hanging="360" w:left="2160"/>
      </w:pPr>
      <w:rPr>
        <w:rFonts w:hint="default" w:ascii="Noto Sans Symbols" w:hAnsi="Noto Sans Symbols" w:cs="Noto Sans Symbols"/>
      </w:rPr>
      <w:start w:val="1"/>
      <w:suff w:val="tab"/>
    </w:lvl>
    <w:lvl w:ilvl="3">
      <w:isLgl w:val="false"/>
      <w:lvlJc w:val="left"/>
      <w:lvlText w:val="●"/>
      <w:numFmt w:val="bullet"/>
      <w:pPr>
        <w:pBdr/>
        <w:tabs>
          <w:tab w:val="num" w:leader="none" w:pos="0"/>
        </w:tabs>
        <w:spacing/>
        <w:ind w:hanging="360" w:left="2880"/>
      </w:pPr>
      <w:rPr>
        <w:rFonts w:hint="default" w:ascii="Noto Sans Symbols" w:hAnsi="Noto Sans Symbols" w:cs="Noto Sans Symbols"/>
      </w:rPr>
      <w:start w:val="1"/>
      <w:suff w:val="tab"/>
    </w:lvl>
    <w:lvl w:ilvl="4">
      <w:isLgl w:val="false"/>
      <w:lvlJc w:val="left"/>
      <w:lvlText w:val="o"/>
      <w:numFmt w:val="bullet"/>
      <w:pPr>
        <w:pBdr/>
        <w:tabs>
          <w:tab w:val="num" w:leader="none" w:pos="0"/>
        </w:tabs>
        <w:spacing/>
        <w:ind w:hanging="360" w:left="3600"/>
      </w:pPr>
      <w:rPr>
        <w:rFonts w:hint="default" w:ascii="Courier New" w:hAnsi="Courier New" w:cs="Courier New"/>
      </w:rPr>
      <w:start w:val="1"/>
      <w:suff w:val="tab"/>
    </w:lvl>
    <w:lvl w:ilvl="5">
      <w:isLgl w:val="false"/>
      <w:lvlJc w:val="left"/>
      <w:lvlText w:val="▪"/>
      <w:numFmt w:val="bullet"/>
      <w:pPr>
        <w:pBdr/>
        <w:tabs>
          <w:tab w:val="num" w:leader="none" w:pos="0"/>
        </w:tabs>
        <w:spacing/>
        <w:ind w:hanging="360" w:left="4320"/>
      </w:pPr>
      <w:rPr>
        <w:rFonts w:hint="default" w:ascii="Noto Sans Symbols" w:hAnsi="Noto Sans Symbols" w:cs="Noto Sans Symbols"/>
      </w:rPr>
      <w:start w:val="1"/>
      <w:suff w:val="tab"/>
    </w:lvl>
    <w:lvl w:ilvl="6">
      <w:isLgl w:val="false"/>
      <w:lvlJc w:val="left"/>
      <w:lvlText w:val="●"/>
      <w:numFmt w:val="bullet"/>
      <w:pPr>
        <w:pBdr/>
        <w:tabs>
          <w:tab w:val="num" w:leader="none" w:pos="0"/>
        </w:tabs>
        <w:spacing/>
        <w:ind w:hanging="360" w:left="5040"/>
      </w:pPr>
      <w:rPr>
        <w:rFonts w:hint="default" w:ascii="Noto Sans Symbols" w:hAnsi="Noto Sans Symbols" w:cs="Noto Sans Symbols"/>
      </w:rPr>
      <w:start w:val="1"/>
      <w:suff w:val="tab"/>
    </w:lvl>
    <w:lvl w:ilvl="7">
      <w:isLgl w:val="false"/>
      <w:lvlJc w:val="left"/>
      <w:lvlText w:val="o"/>
      <w:numFmt w:val="bullet"/>
      <w:pPr>
        <w:pBdr/>
        <w:tabs>
          <w:tab w:val="num" w:leader="none" w:pos="0"/>
        </w:tabs>
        <w:spacing/>
        <w:ind w:hanging="360" w:left="5760"/>
      </w:pPr>
      <w:rPr>
        <w:rFonts w:hint="default" w:ascii="Courier New" w:hAnsi="Courier New" w:cs="Courier New"/>
      </w:rPr>
      <w:start w:val="1"/>
      <w:suff w:val="tab"/>
    </w:lvl>
    <w:lvl w:ilvl="8">
      <w:isLgl w:val="false"/>
      <w:lvlJc w:val="left"/>
      <w:lvlText w:val="▪"/>
      <w:numFmt w:val="bullet"/>
      <w:pPr>
        <w:pBdr/>
        <w:tabs>
          <w:tab w:val="num" w:leader="none" w:pos="0"/>
        </w:tabs>
        <w:spacing/>
        <w:ind w:hanging="360" w:left="6480"/>
      </w:pPr>
      <w:rPr>
        <w:rFonts w:hint="default" w:ascii="Noto Sans Symbols" w:hAnsi="Noto Sans Symbols" w:cs="Noto Sans Symbols"/>
      </w:rPr>
      <w:start w:val="1"/>
      <w:suff w:val="tab"/>
    </w:lvl>
  </w:abstractNum>
  <w:abstractNum w:abstractNumId="14">
    <w:nsid w:val="18357057"/>
    <w:lvl w:ilvl="0">
      <w:isLgl w:val="false"/>
      <w:lvlJc w:val="left"/>
      <w:lvlText w:val="%1."/>
      <w:numFmt w:val="decimal"/>
      <w:pPr>
        <w:pBdr/>
        <w:spacing/>
        <w:ind w:hanging="435" w:left="435"/>
      </w:pPr>
      <w:rPr>
        <w:rFonts w:hint="default"/>
        <w:b/>
      </w:rPr>
      <w:start w:val="11"/>
      <w:suff w:val="tab"/>
    </w:lvl>
    <w:lvl w:ilvl="1">
      <w:isLgl w:val="false"/>
      <w:lvlJc w:val="left"/>
      <w:lvlText w:val="%1.%2."/>
      <w:numFmt w:val="decimal"/>
      <w:pPr>
        <w:pBdr/>
        <w:spacing/>
        <w:ind w:hanging="435" w:left="435"/>
      </w:pPr>
      <w:rPr>
        <w:rFonts w:hint="default"/>
        <w:b w:val="0"/>
      </w:rPr>
      <w:start w:val="1"/>
      <w:suff w:val="tab"/>
    </w:lvl>
    <w:lvl w:ilvl="2">
      <w:isLgl w:val="false"/>
      <w:lvlJc w:val="left"/>
      <w:lvlText w:val="%1.%2.%3."/>
      <w:numFmt w:val="decimal"/>
      <w:pPr>
        <w:pBdr/>
        <w:spacing/>
        <w:ind w:hanging="720" w:left="720"/>
      </w:pPr>
      <w:rPr>
        <w:rFonts w:hint="default"/>
        <w:b w:val="0"/>
      </w:rPr>
      <w:start w:val="1"/>
      <w:suff w:val="tab"/>
    </w:lvl>
    <w:lvl w:ilvl="3">
      <w:isLgl w:val="false"/>
      <w:lvlJc w:val="left"/>
      <w:lvlText w:val="%1.%2.%3.%4."/>
      <w:numFmt w:val="decimal"/>
      <w:pPr>
        <w:pBdr/>
        <w:spacing/>
        <w:ind w:hanging="720" w:left="720"/>
      </w:pPr>
      <w:rPr>
        <w:rFonts w:hint="default"/>
        <w:b w:val="0"/>
      </w:rPr>
      <w:start w:val="1"/>
      <w:suff w:val="tab"/>
    </w:lvl>
    <w:lvl w:ilvl="4">
      <w:isLgl w:val="false"/>
      <w:lvlJc w:val="left"/>
      <w:lvlText w:val="%1.%2.%3.%4.%5."/>
      <w:numFmt w:val="decimal"/>
      <w:pPr>
        <w:pBdr/>
        <w:spacing/>
        <w:ind w:hanging="1080" w:left="1080"/>
      </w:pPr>
      <w:rPr>
        <w:rFonts w:hint="default"/>
        <w:b w:val="0"/>
      </w:rPr>
      <w:start w:val="1"/>
      <w:suff w:val="tab"/>
    </w:lvl>
    <w:lvl w:ilvl="5">
      <w:isLgl w:val="false"/>
      <w:lvlJc w:val="left"/>
      <w:lvlText w:val="%1.%2.%3.%4.%5.%6."/>
      <w:numFmt w:val="decimal"/>
      <w:pPr>
        <w:pBdr/>
        <w:spacing/>
        <w:ind w:hanging="1080" w:left="1080"/>
      </w:pPr>
      <w:rPr>
        <w:rFonts w:hint="default"/>
        <w:b w:val="0"/>
      </w:rPr>
      <w:start w:val="1"/>
      <w:suff w:val="tab"/>
    </w:lvl>
    <w:lvl w:ilvl="6">
      <w:isLgl w:val="false"/>
      <w:lvlJc w:val="left"/>
      <w:lvlText w:val="%1.%2.%3.%4.%5.%6.%7."/>
      <w:numFmt w:val="decimal"/>
      <w:pPr>
        <w:pBdr/>
        <w:spacing/>
        <w:ind w:hanging="1440" w:left="1440"/>
      </w:pPr>
      <w:rPr>
        <w:rFonts w:hint="default"/>
        <w:b w:val="0"/>
      </w:rPr>
      <w:start w:val="1"/>
      <w:suff w:val="tab"/>
    </w:lvl>
    <w:lvl w:ilvl="7">
      <w:isLgl w:val="false"/>
      <w:lvlJc w:val="left"/>
      <w:lvlText w:val="%1.%2.%3.%4.%5.%6.%7.%8."/>
      <w:numFmt w:val="decimal"/>
      <w:pPr>
        <w:pBdr/>
        <w:spacing/>
        <w:ind w:hanging="1440" w:left="1440"/>
      </w:pPr>
      <w:rPr>
        <w:rFonts w:hint="default"/>
        <w:b w:val="0"/>
      </w:rPr>
      <w:start w:val="1"/>
      <w:suff w:val="tab"/>
    </w:lvl>
    <w:lvl w:ilvl="8">
      <w:isLgl w:val="false"/>
      <w:lvlJc w:val="left"/>
      <w:lvlText w:val="%1.%2.%3.%4.%5.%6.%7.%8.%9."/>
      <w:numFmt w:val="decimal"/>
      <w:pPr>
        <w:pBdr/>
        <w:spacing/>
        <w:ind w:hanging="1800" w:left="1800"/>
      </w:pPr>
      <w:rPr>
        <w:rFonts w:hint="default"/>
        <w:b w:val="0"/>
      </w:rPr>
      <w:start w:val="1"/>
      <w:suff w:val="tab"/>
    </w:lvl>
  </w:abstractNum>
  <w:abstractNum w:abstractNumId="15">
    <w:nsid w:val="1B9C56CA"/>
    <w:lvl w:ilvl="0">
      <w:isLgl w:val="false"/>
      <w:lvlJc w:val="left"/>
      <w:lvlText w:val="%1."/>
      <w:numFmt w:val="decimal"/>
      <w:pPr>
        <w:pBdr/>
        <w:spacing/>
        <w:ind w:hanging="360" w:left="360"/>
      </w:pPr>
      <w:rPr>
        <w:rFonts w:hint="default"/>
      </w:rPr>
      <w:start w:val="9"/>
      <w:suff w:val="tab"/>
    </w:lvl>
    <w:lvl w:ilvl="1">
      <w:isLgl w:val="false"/>
      <w:lvlJc w:val="left"/>
      <w:lvlText w:val="%1.%2."/>
      <w:numFmt w:val="decimal"/>
      <w:pPr>
        <w:pBdr/>
        <w:spacing/>
        <w:ind w:hanging="360" w:left="360"/>
      </w:pPr>
      <w:rPr>
        <w:rFonts w:hint="default"/>
      </w:rPr>
      <w:start w:val="1"/>
      <w:suff w:val="tab"/>
    </w:lvl>
    <w:lvl w:ilvl="2">
      <w:isLgl w:val="false"/>
      <w:lvlJc w:val="left"/>
      <w:lvlText w:val="%1.%2.%3."/>
      <w:numFmt w:val="decimal"/>
      <w:pPr>
        <w:pBdr/>
        <w:spacing/>
        <w:ind w:hanging="720" w:left="720"/>
      </w:pPr>
      <w:rPr>
        <w:rFonts w:hint="default"/>
      </w:rPr>
      <w:start w:val="1"/>
      <w:suff w:val="tab"/>
    </w:lvl>
    <w:lvl w:ilvl="3">
      <w:isLgl w:val="false"/>
      <w:lvlJc w:val="left"/>
      <w:lvlText w:val="%1.%2.%3.%4."/>
      <w:numFmt w:val="decimal"/>
      <w:pPr>
        <w:pBdr/>
        <w:spacing/>
        <w:ind w:hanging="720" w:left="720"/>
      </w:pPr>
      <w:rPr>
        <w:rFonts w:hint="default"/>
      </w:rPr>
      <w:start w:val="1"/>
      <w:suff w:val="tab"/>
    </w:lvl>
    <w:lvl w:ilvl="4">
      <w:isLgl w:val="false"/>
      <w:lvlJc w:val="left"/>
      <w:lvlText w:val="%1.%2.%3.%4.%5."/>
      <w:numFmt w:val="decimal"/>
      <w:pPr>
        <w:pBdr/>
        <w:spacing/>
        <w:ind w:hanging="1080" w:left="1080"/>
      </w:pPr>
      <w:rPr>
        <w:rFonts w:hint="default"/>
      </w:rPr>
      <w:start w:val="1"/>
      <w:suff w:val="tab"/>
    </w:lvl>
    <w:lvl w:ilvl="5">
      <w:isLgl w:val="false"/>
      <w:lvlJc w:val="left"/>
      <w:lvlText w:val="%1.%2.%3.%4.%5.%6."/>
      <w:numFmt w:val="decimal"/>
      <w:pPr>
        <w:pBdr/>
        <w:spacing/>
        <w:ind w:hanging="1080" w:left="1080"/>
      </w:pPr>
      <w:rPr>
        <w:rFonts w:hint="default"/>
      </w:rPr>
      <w:start w:val="1"/>
      <w:suff w:val="tab"/>
    </w:lvl>
    <w:lvl w:ilvl="6">
      <w:isLgl w:val="false"/>
      <w:lvlJc w:val="left"/>
      <w:lvlText w:val="%1.%2.%3.%4.%5.%6.%7."/>
      <w:numFmt w:val="decimal"/>
      <w:pPr>
        <w:pBdr/>
        <w:spacing/>
        <w:ind w:hanging="1440" w:left="1440"/>
      </w:pPr>
      <w:rPr>
        <w:rFonts w:hint="default"/>
      </w:rPr>
      <w:start w:val="1"/>
      <w:suff w:val="tab"/>
    </w:lvl>
    <w:lvl w:ilvl="7">
      <w:isLgl w:val="false"/>
      <w:lvlJc w:val="left"/>
      <w:lvlText w:val="%1.%2.%3.%4.%5.%6.%7.%8."/>
      <w:numFmt w:val="decimal"/>
      <w:pPr>
        <w:pBdr/>
        <w:spacing/>
        <w:ind w:hanging="1440" w:left="1440"/>
      </w:pPr>
      <w:rPr>
        <w:rFonts w:hint="default"/>
      </w:rPr>
      <w:start w:val="1"/>
      <w:suff w:val="tab"/>
    </w:lvl>
    <w:lvl w:ilvl="8">
      <w:isLgl w:val="false"/>
      <w:lvlJc w:val="left"/>
      <w:lvlText w:val="%1.%2.%3.%4.%5.%6.%7.%8.%9."/>
      <w:numFmt w:val="decimal"/>
      <w:pPr>
        <w:pBdr/>
        <w:spacing/>
        <w:ind w:hanging="1800" w:left="1800"/>
      </w:pPr>
      <w:rPr>
        <w:rFonts w:hint="default"/>
      </w:rPr>
      <w:start w:val="1"/>
      <w:suff w:val="tab"/>
    </w:lvl>
  </w:abstractNum>
  <w:abstractNum w:abstractNumId="16">
    <w:nsid w:val="1DD47B69"/>
    <w:lvl w:ilvl="0">
      <w:isLgl w:val="false"/>
      <w:lvlJc w:val="left"/>
      <w:lvlText w:val="●"/>
      <w:numFmt w:val="bullet"/>
      <w:pPr>
        <w:pBdr/>
        <w:tabs>
          <w:tab w:val="num" w:leader="none" w:pos="0"/>
        </w:tabs>
        <w:spacing/>
        <w:ind w:hanging="360" w:left="720"/>
      </w:pPr>
      <w:rPr>
        <w:rFonts w:hint="default" w:ascii="Noto Sans Symbols" w:hAnsi="Noto Sans Symbols" w:cs="Noto Sans Symbols"/>
      </w:rPr>
      <w:start w:val="1"/>
      <w:suff w:val="tab"/>
    </w:lvl>
    <w:lvl w:ilvl="1">
      <w:isLgl w:val="false"/>
      <w:lvlJc w:val="left"/>
      <w:lvlText w:val="%2."/>
      <w:numFmt w:val="decimal"/>
      <w:pPr>
        <w:pBdr/>
        <w:tabs>
          <w:tab w:val="num" w:leader="none" w:pos="0"/>
        </w:tabs>
        <w:spacing/>
        <w:ind w:hanging="360" w:left="1440"/>
      </w:pPr>
      <w:rPr/>
      <w:start w:val="1"/>
      <w:suff w:val="tab"/>
    </w:lvl>
    <w:lvl w:ilvl="2">
      <w:isLgl w:val="false"/>
      <w:lvlJc w:val="left"/>
      <w:lvlText w:val="%3."/>
      <w:numFmt w:val="decimal"/>
      <w:pPr>
        <w:pBdr/>
        <w:tabs>
          <w:tab w:val="num" w:leader="none" w:pos="0"/>
        </w:tabs>
        <w:spacing/>
        <w:ind w:hanging="360" w:left="2160"/>
      </w:pPr>
      <w:rPr/>
      <w:start w:val="1"/>
      <w:suff w:val="tab"/>
    </w:lvl>
    <w:lvl w:ilvl="3">
      <w:isLgl w:val="false"/>
      <w:lvlJc w:val="left"/>
      <w:lvlText w:val="%4."/>
      <w:numFmt w:val="decimal"/>
      <w:pPr>
        <w:pBdr/>
        <w:tabs>
          <w:tab w:val="num" w:leader="none" w:pos="0"/>
        </w:tabs>
        <w:spacing/>
        <w:ind w:hanging="360" w:left="2880"/>
      </w:pPr>
      <w:rPr/>
      <w:start w:val="1"/>
      <w:suff w:val="tab"/>
    </w:lvl>
    <w:lvl w:ilvl="4">
      <w:isLgl w:val="false"/>
      <w:lvlJc w:val="left"/>
      <w:lvlText w:val="%5."/>
      <w:numFmt w:val="decimal"/>
      <w:pPr>
        <w:pBdr/>
        <w:tabs>
          <w:tab w:val="num" w:leader="none" w:pos="0"/>
        </w:tabs>
        <w:spacing/>
        <w:ind w:hanging="360" w:left="3600"/>
      </w:pPr>
      <w:rPr/>
      <w:start w:val="1"/>
      <w:suff w:val="tab"/>
    </w:lvl>
    <w:lvl w:ilvl="5">
      <w:isLgl w:val="false"/>
      <w:lvlJc w:val="left"/>
      <w:lvlText w:val="%6."/>
      <w:numFmt w:val="decimal"/>
      <w:pPr>
        <w:pBdr/>
        <w:tabs>
          <w:tab w:val="num" w:leader="none" w:pos="0"/>
        </w:tabs>
        <w:spacing/>
        <w:ind w:hanging="360" w:left="4320"/>
      </w:pPr>
      <w:rPr/>
      <w:start w:val="1"/>
      <w:suff w:val="tab"/>
    </w:lvl>
    <w:lvl w:ilvl="6">
      <w:isLgl w:val="false"/>
      <w:lvlJc w:val="left"/>
      <w:lvlText w:val="%7."/>
      <w:numFmt w:val="decimal"/>
      <w:pPr>
        <w:pBdr/>
        <w:tabs>
          <w:tab w:val="num" w:leader="none" w:pos="0"/>
        </w:tabs>
        <w:spacing/>
        <w:ind w:hanging="360" w:left="5040"/>
      </w:pPr>
      <w:rPr/>
      <w:start w:val="1"/>
      <w:suff w:val="tab"/>
    </w:lvl>
    <w:lvl w:ilvl="7">
      <w:isLgl w:val="false"/>
      <w:lvlJc w:val="left"/>
      <w:lvlText w:val="%8."/>
      <w:numFmt w:val="decimal"/>
      <w:pPr>
        <w:pBdr/>
        <w:tabs>
          <w:tab w:val="num" w:leader="none" w:pos="0"/>
        </w:tabs>
        <w:spacing/>
        <w:ind w:hanging="360" w:left="5760"/>
      </w:pPr>
      <w:rPr/>
      <w:start w:val="1"/>
      <w:suff w:val="tab"/>
    </w:lvl>
    <w:lvl w:ilvl="8">
      <w:isLgl w:val="false"/>
      <w:lvlJc w:val="left"/>
      <w:lvlText w:val="%9."/>
      <w:numFmt w:val="decimal"/>
      <w:pPr>
        <w:pBdr/>
        <w:tabs>
          <w:tab w:val="num" w:leader="none" w:pos="0"/>
        </w:tabs>
        <w:spacing/>
        <w:ind w:hanging="360" w:left="6480"/>
      </w:pPr>
      <w:rPr/>
      <w:start w:val="1"/>
      <w:suff w:val="tab"/>
    </w:lvl>
  </w:abstractNum>
  <w:abstractNum w:abstractNumId="17">
    <w:nsid w:val="276161BD"/>
    <w:lvl w:ilvl="0">
      <w:isLgl w:val="false"/>
      <w:lvlJc w:val="left"/>
      <w:lvlText w:val="%1."/>
      <w:numFmt w:val="decimal"/>
      <w:pPr>
        <w:pBdr/>
        <w:spacing/>
        <w:ind w:hanging="495" w:left="495"/>
      </w:pPr>
      <w:rPr>
        <w:rFonts w:hint="default"/>
        <w:b w:val="0"/>
      </w:rPr>
      <w:start w:val="7"/>
      <w:suff w:val="tab"/>
    </w:lvl>
    <w:lvl w:ilvl="1">
      <w:isLgl w:val="false"/>
      <w:lvlJc w:val="left"/>
      <w:lvlText w:val="%1.%2."/>
      <w:numFmt w:val="decimal"/>
      <w:pPr>
        <w:pBdr/>
        <w:spacing/>
        <w:ind w:hanging="495" w:left="495"/>
      </w:pPr>
      <w:rPr>
        <w:rFonts w:hint="default"/>
        <w:b w:val="0"/>
      </w:rPr>
      <w:start w:val="4"/>
      <w:suff w:val="tab"/>
    </w:lvl>
    <w:lvl w:ilvl="2">
      <w:isLgl w:val="false"/>
      <w:lvlJc w:val="left"/>
      <w:lvlText w:val="%1.%2.%3."/>
      <w:numFmt w:val="decimal"/>
      <w:pPr>
        <w:pBdr/>
        <w:spacing/>
        <w:ind w:hanging="720" w:left="720"/>
      </w:pPr>
      <w:rPr>
        <w:rFonts w:hint="default"/>
        <w:b/>
      </w:rPr>
      <w:start w:val="1"/>
      <w:suff w:val="tab"/>
    </w:lvl>
    <w:lvl w:ilvl="3">
      <w:isLgl w:val="false"/>
      <w:lvlJc w:val="left"/>
      <w:lvlText w:val="%1.%2.%3.%4."/>
      <w:numFmt w:val="decimal"/>
      <w:pPr>
        <w:pBdr/>
        <w:spacing/>
        <w:ind w:hanging="720" w:left="9509"/>
      </w:pPr>
      <w:rPr>
        <w:rFonts w:hint="default"/>
        <w:b w:val="0"/>
      </w:rPr>
      <w:start w:val="1"/>
      <w:suff w:val="tab"/>
    </w:lvl>
    <w:lvl w:ilvl="4">
      <w:isLgl w:val="false"/>
      <w:lvlJc w:val="left"/>
      <w:lvlText w:val="%1.%2.%3.%4.%5."/>
      <w:numFmt w:val="decimal"/>
      <w:pPr>
        <w:pBdr/>
        <w:spacing/>
        <w:ind w:hanging="1080" w:left="1080"/>
      </w:pPr>
      <w:rPr>
        <w:rFonts w:hint="default"/>
        <w:b w:val="0"/>
      </w:rPr>
      <w:start w:val="1"/>
      <w:suff w:val="tab"/>
    </w:lvl>
    <w:lvl w:ilvl="5">
      <w:isLgl w:val="false"/>
      <w:lvlJc w:val="left"/>
      <w:lvlText w:val="%1.%2.%3.%4.%5.%6."/>
      <w:numFmt w:val="decimal"/>
      <w:pPr>
        <w:pBdr/>
        <w:spacing/>
        <w:ind w:hanging="1080" w:left="1080"/>
      </w:pPr>
      <w:rPr>
        <w:rFonts w:hint="default"/>
        <w:b w:val="0"/>
      </w:rPr>
      <w:start w:val="1"/>
      <w:suff w:val="tab"/>
    </w:lvl>
    <w:lvl w:ilvl="6">
      <w:isLgl w:val="false"/>
      <w:lvlJc w:val="left"/>
      <w:lvlText w:val="%1.%2.%3.%4.%5.%6.%7."/>
      <w:numFmt w:val="decimal"/>
      <w:pPr>
        <w:pBdr/>
        <w:spacing/>
        <w:ind w:hanging="1440" w:left="1440"/>
      </w:pPr>
      <w:rPr>
        <w:rFonts w:hint="default"/>
        <w:b w:val="0"/>
      </w:rPr>
      <w:start w:val="1"/>
      <w:suff w:val="tab"/>
    </w:lvl>
    <w:lvl w:ilvl="7">
      <w:isLgl w:val="false"/>
      <w:lvlJc w:val="left"/>
      <w:lvlText w:val="%1.%2.%3.%4.%5.%6.%7.%8."/>
      <w:numFmt w:val="decimal"/>
      <w:pPr>
        <w:pBdr/>
        <w:spacing/>
        <w:ind w:hanging="1440" w:left="1440"/>
      </w:pPr>
      <w:rPr>
        <w:rFonts w:hint="default"/>
        <w:b w:val="0"/>
      </w:rPr>
      <w:start w:val="1"/>
      <w:suff w:val="tab"/>
    </w:lvl>
    <w:lvl w:ilvl="8">
      <w:isLgl w:val="false"/>
      <w:lvlJc w:val="left"/>
      <w:lvlText w:val="%1.%2.%3.%4.%5.%6.%7.%8.%9."/>
      <w:numFmt w:val="decimal"/>
      <w:pPr>
        <w:pBdr/>
        <w:spacing/>
        <w:ind w:hanging="1800" w:left="1800"/>
      </w:pPr>
      <w:rPr>
        <w:rFonts w:hint="default"/>
        <w:b w:val="0"/>
      </w:rPr>
      <w:start w:val="1"/>
      <w:suff w:val="tab"/>
    </w:lvl>
  </w:abstractNum>
  <w:abstractNum w:abstractNumId="18">
    <w:nsid w:val="2BAD389C"/>
    <w:lvl w:ilvl="0">
      <w:isLgl w:val="false"/>
      <w:lvlJc w:val="left"/>
      <w:lvlText w:val="%1."/>
      <w:numFmt w:val="decimal"/>
      <w:pPr>
        <w:pBdr/>
        <w:tabs>
          <w:tab w:val="num" w:leader="none" w:pos="720"/>
        </w:tabs>
        <w:spacing/>
        <w:ind w:hanging="360" w:left="720"/>
      </w:pPr>
      <w:rPr/>
      <w:start w:val="8"/>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19">
    <w:nsid w:val="2D9E37CA"/>
    <w:lvl w:ilvl="0">
      <w:isLgl w:val="false"/>
      <w:lvlJc w:val="left"/>
      <w:lvlText w:val="%1."/>
      <w:numFmt w:val="decimal"/>
      <w:pPr>
        <w:pBdr/>
        <w:spacing/>
        <w:ind w:hanging="360" w:left="360"/>
      </w:pPr>
      <w:rPr>
        <w:rFonts w:hint="default"/>
      </w:rPr>
      <w:start w:val="4"/>
      <w:suff w:val="tab"/>
    </w:lvl>
    <w:lvl w:ilvl="1">
      <w:isLgl w:val="false"/>
      <w:lvlJc w:val="left"/>
      <w:lvlText w:val="%1.%2."/>
      <w:numFmt w:val="decimal"/>
      <w:pPr>
        <w:pBdr/>
        <w:spacing/>
        <w:ind w:hanging="360" w:left="360"/>
      </w:pPr>
      <w:rPr>
        <w:rFonts w:hint="default"/>
      </w:rPr>
      <w:start w:val="1"/>
      <w:suff w:val="tab"/>
    </w:lvl>
    <w:lvl w:ilvl="2">
      <w:isLgl w:val="false"/>
      <w:lvlJc w:val="left"/>
      <w:lvlText w:val="%1.%2.%3."/>
      <w:numFmt w:val="decimal"/>
      <w:pPr>
        <w:pBdr/>
        <w:spacing/>
        <w:ind w:hanging="720" w:left="720"/>
      </w:pPr>
      <w:rPr>
        <w:rFonts w:hint="default"/>
      </w:rPr>
      <w:start w:val="1"/>
      <w:suff w:val="tab"/>
    </w:lvl>
    <w:lvl w:ilvl="3">
      <w:isLgl w:val="false"/>
      <w:lvlJc w:val="left"/>
      <w:lvlText w:val="%1.%2.%3.%4."/>
      <w:numFmt w:val="decimal"/>
      <w:pPr>
        <w:pBdr/>
        <w:spacing/>
        <w:ind w:hanging="720" w:left="720"/>
      </w:pPr>
      <w:rPr>
        <w:rFonts w:hint="default"/>
      </w:rPr>
      <w:start w:val="1"/>
      <w:suff w:val="tab"/>
    </w:lvl>
    <w:lvl w:ilvl="4">
      <w:isLgl w:val="false"/>
      <w:lvlJc w:val="left"/>
      <w:lvlText w:val="%1.%2.%3.%4.%5."/>
      <w:numFmt w:val="decimal"/>
      <w:pPr>
        <w:pBdr/>
        <w:spacing/>
        <w:ind w:hanging="1080" w:left="1080"/>
      </w:pPr>
      <w:rPr>
        <w:rFonts w:hint="default"/>
      </w:rPr>
      <w:start w:val="1"/>
      <w:suff w:val="tab"/>
    </w:lvl>
    <w:lvl w:ilvl="5">
      <w:isLgl w:val="false"/>
      <w:lvlJc w:val="left"/>
      <w:lvlText w:val="%1.%2.%3.%4.%5.%6."/>
      <w:numFmt w:val="decimal"/>
      <w:pPr>
        <w:pBdr/>
        <w:spacing/>
        <w:ind w:hanging="1080" w:left="1080"/>
      </w:pPr>
      <w:rPr>
        <w:rFonts w:hint="default"/>
      </w:rPr>
      <w:start w:val="1"/>
      <w:suff w:val="tab"/>
    </w:lvl>
    <w:lvl w:ilvl="6">
      <w:isLgl w:val="false"/>
      <w:lvlJc w:val="left"/>
      <w:lvlText w:val="%1.%2.%3.%4.%5.%6.%7."/>
      <w:numFmt w:val="decimal"/>
      <w:pPr>
        <w:pBdr/>
        <w:spacing/>
        <w:ind w:hanging="1440" w:left="1440"/>
      </w:pPr>
      <w:rPr>
        <w:rFonts w:hint="default"/>
      </w:rPr>
      <w:start w:val="1"/>
      <w:suff w:val="tab"/>
    </w:lvl>
    <w:lvl w:ilvl="7">
      <w:isLgl w:val="false"/>
      <w:lvlJc w:val="left"/>
      <w:lvlText w:val="%1.%2.%3.%4.%5.%6.%7.%8."/>
      <w:numFmt w:val="decimal"/>
      <w:pPr>
        <w:pBdr/>
        <w:spacing/>
        <w:ind w:hanging="1440" w:left="1440"/>
      </w:pPr>
      <w:rPr>
        <w:rFonts w:hint="default"/>
      </w:rPr>
      <w:start w:val="1"/>
      <w:suff w:val="tab"/>
    </w:lvl>
    <w:lvl w:ilvl="8">
      <w:isLgl w:val="false"/>
      <w:lvlJc w:val="left"/>
      <w:lvlText w:val="%1.%2.%3.%4.%5.%6.%7.%8.%9."/>
      <w:numFmt w:val="decimal"/>
      <w:pPr>
        <w:pBdr/>
        <w:spacing/>
        <w:ind w:hanging="1800" w:left="1800"/>
      </w:pPr>
      <w:rPr>
        <w:rFonts w:hint="default"/>
      </w:rPr>
      <w:start w:val="1"/>
      <w:suff w:val="tab"/>
    </w:lvl>
  </w:abstractNum>
  <w:abstractNum w:abstractNumId="20">
    <w:nsid w:val="2FE8178B"/>
    <w:lvl w:ilvl="0">
      <w:isLgl w:val="false"/>
      <w:lvlJc w:val="left"/>
      <w:lvlText w:val="%1."/>
      <w:numFmt w:val="decimal"/>
      <w:pPr>
        <w:pBdr/>
        <w:tabs>
          <w:tab w:val="num" w:leader="none" w:pos="720"/>
        </w:tabs>
        <w:spacing/>
        <w:ind w:hanging="360" w:left="720"/>
      </w:pPr>
      <w:rPr/>
      <w:start w:val="2"/>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21">
    <w:nsid w:val="30F034E6"/>
    <w:lvl w:ilvl="0">
      <w:isLgl w:val="false"/>
      <w:lvlJc w:val="left"/>
      <w:lvlText w:val="●"/>
      <w:numFmt w:val="bullet"/>
      <w:pPr>
        <w:pBdr/>
        <w:tabs>
          <w:tab w:val="num" w:leader="none" w:pos="0"/>
        </w:tabs>
        <w:spacing/>
        <w:ind w:firstLine="0" w:left="0"/>
      </w:pPr>
      <w:pStyle w:val="1072"/>
      <w:rPr>
        <w:rFonts w:hint="default" w:ascii="Noto Sans Symbols" w:hAnsi="Noto Sans Symbols" w:cs="Noto Sans Symbols"/>
      </w:rPr>
      <w:start w:val="1"/>
      <w:suff w:val="tab"/>
    </w:lvl>
    <w:lvl w:ilvl="1">
      <w:isLgl w:val="false"/>
      <w:lvlJc w:val="left"/>
      <w:lvlText w:val=""/>
      <w:numFmt w:val="decimal"/>
      <w:pPr>
        <w:pBdr/>
        <w:tabs>
          <w:tab w:val="num" w:leader="none" w:pos="0"/>
        </w:tabs>
        <w:spacing/>
        <w:ind w:firstLine="0" w:left="0"/>
      </w:pPr>
      <w:rPr/>
      <w:start w:val="1"/>
      <w:suff w:val="tab"/>
    </w:lvl>
    <w:lvl w:ilvl="2">
      <w:isLgl w:val="false"/>
      <w:lvlJc w:val="left"/>
      <w:lvlText w:val=""/>
      <w:numFmt w:val="decimal"/>
      <w:pPr>
        <w:pBdr/>
        <w:tabs>
          <w:tab w:val="num" w:leader="none" w:pos="0"/>
        </w:tabs>
        <w:spacing/>
        <w:ind w:firstLine="0" w:left="0"/>
      </w:pPr>
      <w:rPr/>
      <w:start w:val="1"/>
      <w:suff w:val="tab"/>
    </w:lvl>
    <w:lvl w:ilvl="3">
      <w:isLgl w:val="false"/>
      <w:lvlJc w:val="left"/>
      <w:lvlText w:val=""/>
      <w:numFmt w:val="decimal"/>
      <w:pPr>
        <w:pBdr/>
        <w:tabs>
          <w:tab w:val="num" w:leader="none" w:pos="0"/>
        </w:tabs>
        <w:spacing/>
        <w:ind w:firstLine="0" w:left="0"/>
      </w:pPr>
      <w:rPr/>
      <w:start w:val="1"/>
      <w:suff w:val="tab"/>
    </w:lvl>
    <w:lvl w:ilvl="4">
      <w:isLgl w:val="false"/>
      <w:lvlJc w:val="left"/>
      <w:lvlText w:val=""/>
      <w:numFmt w:val="decimal"/>
      <w:pPr>
        <w:pBdr/>
        <w:tabs>
          <w:tab w:val="num" w:leader="none" w:pos="0"/>
        </w:tabs>
        <w:spacing/>
        <w:ind w:firstLine="0" w:left="0"/>
      </w:pPr>
      <w:rPr/>
      <w:start w:val="1"/>
      <w:suff w:val="tab"/>
    </w:lvl>
    <w:lvl w:ilvl="5">
      <w:isLgl w:val="false"/>
      <w:lvlJc w:val="left"/>
      <w:lvlText w:val=""/>
      <w:numFmt w:val="decimal"/>
      <w:pPr>
        <w:pBdr/>
        <w:tabs>
          <w:tab w:val="num" w:leader="none" w:pos="0"/>
        </w:tabs>
        <w:spacing/>
        <w:ind w:firstLine="0" w:left="0"/>
      </w:pPr>
      <w:rPr/>
      <w:start w:val="1"/>
      <w:suff w:val="tab"/>
    </w:lvl>
    <w:lvl w:ilvl="6">
      <w:isLgl w:val="false"/>
      <w:lvlJc w:val="left"/>
      <w:lvlText w:val=""/>
      <w:numFmt w:val="decimal"/>
      <w:pPr>
        <w:pBdr/>
        <w:tabs>
          <w:tab w:val="num" w:leader="none" w:pos="0"/>
        </w:tabs>
        <w:spacing/>
        <w:ind w:firstLine="0" w:left="0"/>
      </w:pPr>
      <w:rPr/>
      <w:start w:val="1"/>
      <w:suff w:val="tab"/>
    </w:lvl>
    <w:lvl w:ilvl="7">
      <w:isLgl w:val="false"/>
      <w:lvlJc w:val="left"/>
      <w:lvlText w:val=""/>
      <w:numFmt w:val="decimal"/>
      <w:pPr>
        <w:pBdr/>
        <w:tabs>
          <w:tab w:val="num" w:leader="none" w:pos="0"/>
        </w:tabs>
        <w:spacing/>
        <w:ind w:firstLine="0" w:left="0"/>
      </w:pPr>
      <w:rPr/>
      <w:start w:val="1"/>
      <w:suff w:val="tab"/>
    </w:lvl>
    <w:lvl w:ilvl="8">
      <w:isLgl w:val="false"/>
      <w:lvlJc w:val="left"/>
      <w:lvlText w:val=""/>
      <w:numFmt w:val="decimal"/>
      <w:pPr>
        <w:pBdr/>
        <w:tabs>
          <w:tab w:val="num" w:leader="none" w:pos="0"/>
        </w:tabs>
        <w:spacing/>
        <w:ind w:firstLine="0" w:left="0"/>
      </w:pPr>
      <w:rPr/>
      <w:start w:val="1"/>
      <w:suff w:val="tab"/>
    </w:lvl>
  </w:abstractNum>
  <w:abstractNum w:abstractNumId="22">
    <w:nsid w:val="31387F26"/>
    <w:lvl w:ilvl="0">
      <w:isLgl w:val="false"/>
      <w:lvlJc w:val="left"/>
      <w:lvlText w:val="%1."/>
      <w:numFmt w:val="decimal"/>
      <w:pPr>
        <w:pBdr/>
        <w:tabs>
          <w:tab w:val="num" w:leader="none" w:pos="720"/>
        </w:tabs>
        <w:spacing/>
        <w:ind w:hanging="360" w:left="720"/>
      </w:pPr>
      <w:rPr/>
      <w:start w:val="1"/>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23">
    <w:nsid w:val="36261978"/>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24">
    <w:nsid w:val="3A4C3A41"/>
    <w:lvl w:ilvl="0">
      <w:isLgl w:val="false"/>
      <w:lvlJc w:val="left"/>
      <w:lvlText w:val="%1."/>
      <w:numFmt w:val="decimal"/>
      <w:pPr>
        <w:pBdr/>
        <w:spacing/>
        <w:ind w:hanging="360" w:left="360"/>
      </w:pPr>
      <w:rPr>
        <w:rFonts w:hint="default"/>
      </w:rPr>
      <w:start w:val="7"/>
      <w:suff w:val="tab"/>
    </w:lvl>
    <w:lvl w:ilvl="1">
      <w:isLgl w:val="false"/>
      <w:lvlJc w:val="left"/>
      <w:lvlText w:val="%1.%2."/>
      <w:numFmt w:val="decimal"/>
      <w:pPr>
        <w:pBdr/>
        <w:spacing/>
        <w:ind w:hanging="360" w:left="360"/>
      </w:pPr>
      <w:rPr>
        <w:rFonts w:hint="default"/>
      </w:rPr>
      <w:start w:val="2"/>
      <w:suff w:val="tab"/>
    </w:lvl>
    <w:lvl w:ilvl="2">
      <w:isLgl w:val="false"/>
      <w:lvlJc w:val="left"/>
      <w:lvlText w:val="%1.%2.%3."/>
      <w:numFmt w:val="upperLetter"/>
      <w:pPr>
        <w:pBdr/>
        <w:spacing/>
        <w:ind w:hanging="720" w:left="720"/>
      </w:pPr>
      <w:rPr>
        <w:rFonts w:hint="default"/>
      </w:rPr>
      <w:start w:val="1"/>
      <w:suff w:val="tab"/>
    </w:lvl>
    <w:lvl w:ilvl="3">
      <w:isLgl w:val="false"/>
      <w:lvlJc w:val="left"/>
      <w:lvlText w:val="%1.%2.%3.%4."/>
      <w:numFmt w:val="decimal"/>
      <w:pPr>
        <w:pBdr/>
        <w:spacing/>
        <w:ind w:hanging="720" w:left="720"/>
      </w:pPr>
      <w:rPr>
        <w:rFonts w:hint="default"/>
      </w:rPr>
      <w:start w:val="1"/>
      <w:suff w:val="tab"/>
    </w:lvl>
    <w:lvl w:ilvl="4">
      <w:isLgl w:val="false"/>
      <w:lvlJc w:val="left"/>
      <w:lvlText w:val="%1.%2.%3.%4.%5."/>
      <w:numFmt w:val="decimal"/>
      <w:pPr>
        <w:pBdr/>
        <w:spacing/>
        <w:ind w:hanging="1080" w:left="1080"/>
      </w:pPr>
      <w:rPr>
        <w:rFonts w:hint="default"/>
      </w:rPr>
      <w:start w:val="1"/>
      <w:suff w:val="tab"/>
    </w:lvl>
    <w:lvl w:ilvl="5">
      <w:isLgl w:val="false"/>
      <w:lvlJc w:val="left"/>
      <w:lvlText w:val="%1.%2.%3.%4.%5.%6."/>
      <w:numFmt w:val="decimal"/>
      <w:pPr>
        <w:pBdr/>
        <w:spacing/>
        <w:ind w:hanging="1080" w:left="1080"/>
      </w:pPr>
      <w:rPr>
        <w:rFonts w:hint="default"/>
      </w:rPr>
      <w:start w:val="1"/>
      <w:suff w:val="tab"/>
    </w:lvl>
    <w:lvl w:ilvl="6">
      <w:isLgl w:val="false"/>
      <w:lvlJc w:val="left"/>
      <w:lvlText w:val="%1.%2.%3.%4.%5.%6.%7."/>
      <w:numFmt w:val="decimal"/>
      <w:pPr>
        <w:pBdr/>
        <w:spacing/>
        <w:ind w:hanging="1440" w:left="1440"/>
      </w:pPr>
      <w:rPr>
        <w:rFonts w:hint="default"/>
      </w:rPr>
      <w:start w:val="1"/>
      <w:suff w:val="tab"/>
    </w:lvl>
    <w:lvl w:ilvl="7">
      <w:isLgl w:val="false"/>
      <w:lvlJc w:val="left"/>
      <w:lvlText w:val="%1.%2.%3.%4.%5.%6.%7.%8."/>
      <w:numFmt w:val="decimal"/>
      <w:pPr>
        <w:pBdr/>
        <w:spacing/>
        <w:ind w:hanging="1440" w:left="1440"/>
      </w:pPr>
      <w:rPr>
        <w:rFonts w:hint="default"/>
      </w:rPr>
      <w:start w:val="1"/>
      <w:suff w:val="tab"/>
    </w:lvl>
    <w:lvl w:ilvl="8">
      <w:isLgl w:val="false"/>
      <w:lvlJc w:val="left"/>
      <w:lvlText w:val="%1.%2.%3.%4.%5.%6.%7.%8.%9."/>
      <w:numFmt w:val="decimal"/>
      <w:pPr>
        <w:pBdr/>
        <w:spacing/>
        <w:ind w:hanging="1800" w:left="1800"/>
      </w:pPr>
      <w:rPr>
        <w:rFonts w:hint="default"/>
      </w:rPr>
      <w:start w:val="1"/>
      <w:suff w:val="tab"/>
    </w:lvl>
  </w:abstractNum>
  <w:abstractNum w:abstractNumId="25">
    <w:nsid w:val="49F32D94"/>
    <w:lvl w:ilvl="0">
      <w:isLgl w:val="false"/>
      <w:lvlJc w:val="left"/>
      <w:lvlText w:val="%1."/>
      <w:numFmt w:val="decimal"/>
      <w:pPr>
        <w:pBdr/>
        <w:tabs>
          <w:tab w:val="num" w:leader="none" w:pos="720"/>
        </w:tabs>
        <w:spacing/>
        <w:ind w:hanging="360" w:left="720"/>
      </w:pPr>
      <w:rPr/>
      <w:start w:val="3"/>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26">
    <w:nsid w:val="510B5AC4"/>
    <w:lvl w:ilvl="0">
      <w:isLgl w:val="false"/>
      <w:lvlJc w:val="left"/>
      <w:lvlText w:val="%1."/>
      <w:numFmt w:val="decimal"/>
      <w:pPr>
        <w:pBdr/>
        <w:tabs>
          <w:tab w:val="num" w:leader="none" w:pos="720"/>
        </w:tabs>
        <w:spacing/>
        <w:ind w:hanging="360" w:left="720"/>
      </w:pPr>
      <w:rPr/>
      <w:start w:val="5"/>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27">
    <w:nsid w:val="58A16D73"/>
    <w:lvl w:ilvl="0">
      <w:isLgl w:val="false"/>
      <w:lvlJc w:val="left"/>
      <w:lvlText w:val=""/>
      <w:numFmt w:val="bullet"/>
      <w:pPr>
        <w:pBdr/>
        <w:tabs>
          <w:tab w:val="num" w:leader="none" w:pos="0"/>
        </w:tabs>
        <w:spacing/>
        <w:ind w:hanging="360" w:left="720"/>
      </w:pPr>
      <w:rPr>
        <w:rFonts w:hint="default" w:ascii="Symbol" w:hAnsi="Symbol" w:cs="Symbol"/>
      </w:rPr>
      <w:start w:val="8"/>
      <w:suff w:val="tab"/>
    </w:lvl>
    <w:lvl w:ilvl="1">
      <w:isLgl w:val="false"/>
      <w:lvlJc w:val="left"/>
      <w:lvlText w:val="o"/>
      <w:numFmt w:val="bullet"/>
      <w:pPr>
        <w:pBdr/>
        <w:tabs>
          <w:tab w:val="num" w:leader="none" w:pos="0"/>
        </w:tabs>
        <w:spacing/>
        <w:ind w:hanging="360" w:left="1440"/>
      </w:pPr>
      <w:rPr>
        <w:rFonts w:hint="default" w:ascii="Courier New" w:hAnsi="Courier New" w:cs="Courier New"/>
      </w:rPr>
      <w:start w:val="1"/>
      <w:suff w:val="tab"/>
    </w:lvl>
    <w:lvl w:ilvl="2">
      <w:isLgl w:val="false"/>
      <w:lvlJc w:val="left"/>
      <w:lvlText w:val=""/>
      <w:numFmt w:val="bullet"/>
      <w:pPr>
        <w:pBdr/>
        <w:tabs>
          <w:tab w:val="num" w:leader="none" w:pos="0"/>
        </w:tabs>
        <w:spacing/>
        <w:ind w:hanging="360" w:left="2160"/>
      </w:pPr>
      <w:rPr>
        <w:rFonts w:hint="default" w:ascii="Wingdings" w:hAnsi="Wingdings" w:cs="Wingdings"/>
      </w:rPr>
      <w:start w:val="1"/>
      <w:suff w:val="tab"/>
    </w:lvl>
    <w:lvl w:ilvl="3">
      <w:isLgl w:val="false"/>
      <w:lvlJc w:val="left"/>
      <w:lvlText w:val=""/>
      <w:numFmt w:val="bullet"/>
      <w:pPr>
        <w:pBdr/>
        <w:tabs>
          <w:tab w:val="num" w:leader="none" w:pos="0"/>
        </w:tabs>
        <w:spacing/>
        <w:ind w:hanging="360" w:left="2880"/>
      </w:pPr>
      <w:rPr>
        <w:rFonts w:hint="default" w:ascii="Symbol" w:hAnsi="Symbol" w:cs="Symbol"/>
      </w:rPr>
      <w:start w:val="1"/>
      <w:suff w:val="tab"/>
    </w:lvl>
    <w:lvl w:ilvl="4">
      <w:isLgl w:val="false"/>
      <w:lvlJc w:val="left"/>
      <w:lvlText w:val="o"/>
      <w:numFmt w:val="bullet"/>
      <w:pPr>
        <w:pBdr/>
        <w:tabs>
          <w:tab w:val="num" w:leader="none" w:pos="0"/>
        </w:tabs>
        <w:spacing/>
        <w:ind w:hanging="360" w:left="3600"/>
      </w:pPr>
      <w:rPr>
        <w:rFonts w:hint="default" w:ascii="Courier New" w:hAnsi="Courier New" w:cs="Courier New"/>
      </w:rPr>
      <w:start w:val="1"/>
      <w:suff w:val="tab"/>
    </w:lvl>
    <w:lvl w:ilvl="5">
      <w:isLgl w:val="false"/>
      <w:lvlJc w:val="left"/>
      <w:lvlText w:val=""/>
      <w:numFmt w:val="bullet"/>
      <w:pPr>
        <w:pBdr/>
        <w:tabs>
          <w:tab w:val="num" w:leader="none" w:pos="0"/>
        </w:tabs>
        <w:spacing/>
        <w:ind w:hanging="360" w:left="4320"/>
      </w:pPr>
      <w:rPr>
        <w:rFonts w:hint="default" w:ascii="Wingdings" w:hAnsi="Wingdings" w:cs="Wingdings"/>
      </w:rPr>
      <w:start w:val="1"/>
      <w:suff w:val="tab"/>
    </w:lvl>
    <w:lvl w:ilvl="6">
      <w:isLgl w:val="false"/>
      <w:lvlJc w:val="left"/>
      <w:lvlText w:val=""/>
      <w:numFmt w:val="bullet"/>
      <w:pPr>
        <w:pBdr/>
        <w:tabs>
          <w:tab w:val="num" w:leader="none" w:pos="0"/>
        </w:tabs>
        <w:spacing/>
        <w:ind w:hanging="360" w:left="5040"/>
      </w:pPr>
      <w:rPr>
        <w:rFonts w:hint="default" w:ascii="Symbol" w:hAnsi="Symbol" w:cs="Symbol"/>
      </w:rPr>
      <w:start w:val="1"/>
      <w:suff w:val="tab"/>
    </w:lvl>
    <w:lvl w:ilvl="7">
      <w:isLgl w:val="false"/>
      <w:lvlJc w:val="left"/>
      <w:lvlText w:val="o"/>
      <w:numFmt w:val="bullet"/>
      <w:pPr>
        <w:pBdr/>
        <w:tabs>
          <w:tab w:val="num" w:leader="none" w:pos="0"/>
        </w:tabs>
        <w:spacing/>
        <w:ind w:hanging="360" w:left="5760"/>
      </w:pPr>
      <w:rPr>
        <w:rFonts w:hint="default" w:ascii="Courier New" w:hAnsi="Courier New" w:cs="Courier New"/>
      </w:rPr>
      <w:start w:val="1"/>
      <w:suff w:val="tab"/>
    </w:lvl>
    <w:lvl w:ilvl="8">
      <w:isLgl w:val="false"/>
      <w:lvlJc w:val="left"/>
      <w:lvlText w:val=""/>
      <w:numFmt w:val="bullet"/>
      <w:pPr>
        <w:pBdr/>
        <w:tabs>
          <w:tab w:val="num" w:leader="none" w:pos="0"/>
        </w:tabs>
        <w:spacing/>
        <w:ind w:hanging="360" w:left="6480"/>
      </w:pPr>
      <w:rPr>
        <w:rFonts w:hint="default" w:ascii="Wingdings" w:hAnsi="Wingdings" w:cs="Wingdings"/>
      </w:rPr>
      <w:start w:val="1"/>
      <w:suff w:val="tab"/>
    </w:lvl>
  </w:abstractNum>
  <w:abstractNum w:abstractNumId="28">
    <w:nsid w:val="5B9C2A74"/>
    <w:lvl w:ilvl="0">
      <w:isLgl w:val="false"/>
      <w:lvlJc w:val="left"/>
      <w:lvlText w:val="%1."/>
      <w:numFmt w:val="decimal"/>
      <w:pPr>
        <w:pBdr/>
        <w:tabs>
          <w:tab w:val="num" w:leader="none" w:pos="720"/>
        </w:tabs>
        <w:spacing/>
        <w:ind w:hanging="360" w:left="720"/>
      </w:pPr>
      <w:rPr/>
      <w:start w:val="4"/>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29">
    <w:nsid w:val="5D5138F5"/>
    <w:lvl w:ilvl="0">
      <w:isLgl w:val="false"/>
      <w:lvlJc w:val="left"/>
      <w:lvlText w:val="%1."/>
      <w:numFmt w:val="decimal"/>
      <w:pPr>
        <w:pBdr/>
        <w:spacing/>
        <w:ind w:hanging="360" w:left="360"/>
      </w:pPr>
      <w:rPr>
        <w:rFonts w:hint="default"/>
        <w:b w:val="0"/>
      </w:rPr>
      <w:start w:val="3"/>
      <w:suff w:val="tab"/>
    </w:lvl>
    <w:lvl w:ilvl="1">
      <w:isLgl w:val="false"/>
      <w:lvlJc w:val="left"/>
      <w:lvlText w:val="%1.%2."/>
      <w:numFmt w:val="decimal"/>
      <w:pPr>
        <w:pBdr/>
        <w:spacing/>
        <w:ind w:hanging="360" w:left="360"/>
      </w:pPr>
      <w:rPr>
        <w:rFonts w:hint="default"/>
        <w:b w:val="0"/>
      </w:rPr>
      <w:start w:val="1"/>
      <w:suff w:val="tab"/>
    </w:lvl>
    <w:lvl w:ilvl="2">
      <w:isLgl w:val="false"/>
      <w:lvlJc w:val="left"/>
      <w:lvlText w:val="%1.%2.%3."/>
      <w:numFmt w:val="decimal"/>
      <w:pPr>
        <w:pBdr/>
        <w:spacing/>
        <w:ind w:hanging="720" w:left="720"/>
      </w:pPr>
      <w:rPr>
        <w:rFonts w:hint="default"/>
        <w:b w:val="0"/>
      </w:rPr>
      <w:start w:val="1"/>
      <w:suff w:val="tab"/>
    </w:lvl>
    <w:lvl w:ilvl="3">
      <w:isLgl w:val="false"/>
      <w:lvlJc w:val="left"/>
      <w:lvlText w:val="%1.%2.%3.%4."/>
      <w:numFmt w:val="decimal"/>
      <w:pPr>
        <w:pBdr/>
        <w:spacing/>
        <w:ind w:hanging="720" w:left="720"/>
      </w:pPr>
      <w:rPr>
        <w:rFonts w:hint="default"/>
        <w:b w:val="0"/>
      </w:rPr>
      <w:start w:val="1"/>
      <w:suff w:val="tab"/>
    </w:lvl>
    <w:lvl w:ilvl="4">
      <w:isLgl w:val="false"/>
      <w:lvlJc w:val="left"/>
      <w:lvlText w:val="%1.%2.%3.%4.%5."/>
      <w:numFmt w:val="decimal"/>
      <w:pPr>
        <w:pBdr/>
        <w:spacing/>
        <w:ind w:hanging="1080" w:left="1080"/>
      </w:pPr>
      <w:rPr>
        <w:rFonts w:hint="default"/>
        <w:b w:val="0"/>
      </w:rPr>
      <w:start w:val="1"/>
      <w:suff w:val="tab"/>
    </w:lvl>
    <w:lvl w:ilvl="5">
      <w:isLgl w:val="false"/>
      <w:lvlJc w:val="left"/>
      <w:lvlText w:val="%1.%2.%3.%4.%5.%6."/>
      <w:numFmt w:val="decimal"/>
      <w:pPr>
        <w:pBdr/>
        <w:spacing/>
        <w:ind w:hanging="1080" w:left="1080"/>
      </w:pPr>
      <w:rPr>
        <w:rFonts w:hint="default"/>
        <w:b w:val="0"/>
      </w:rPr>
      <w:start w:val="1"/>
      <w:suff w:val="tab"/>
    </w:lvl>
    <w:lvl w:ilvl="6">
      <w:isLgl w:val="false"/>
      <w:lvlJc w:val="left"/>
      <w:lvlText w:val="%1.%2.%3.%4.%5.%6.%7."/>
      <w:numFmt w:val="decimal"/>
      <w:pPr>
        <w:pBdr/>
        <w:spacing/>
        <w:ind w:hanging="1440" w:left="1440"/>
      </w:pPr>
      <w:rPr>
        <w:rFonts w:hint="default"/>
        <w:b w:val="0"/>
      </w:rPr>
      <w:start w:val="1"/>
      <w:suff w:val="tab"/>
    </w:lvl>
    <w:lvl w:ilvl="7">
      <w:isLgl w:val="false"/>
      <w:lvlJc w:val="left"/>
      <w:lvlText w:val="%1.%2.%3.%4.%5.%6.%7.%8."/>
      <w:numFmt w:val="decimal"/>
      <w:pPr>
        <w:pBdr/>
        <w:spacing/>
        <w:ind w:hanging="1440" w:left="1440"/>
      </w:pPr>
      <w:rPr>
        <w:rFonts w:hint="default"/>
        <w:b w:val="0"/>
      </w:rPr>
      <w:start w:val="1"/>
      <w:suff w:val="tab"/>
    </w:lvl>
    <w:lvl w:ilvl="8">
      <w:isLgl w:val="false"/>
      <w:lvlJc w:val="left"/>
      <w:lvlText w:val="%1.%2.%3.%4.%5.%6.%7.%8.%9."/>
      <w:numFmt w:val="decimal"/>
      <w:pPr>
        <w:pBdr/>
        <w:spacing/>
        <w:ind w:hanging="1800" w:left="1800"/>
      </w:pPr>
      <w:rPr>
        <w:rFonts w:hint="default"/>
        <w:b w:val="0"/>
      </w:rPr>
      <w:start w:val="1"/>
      <w:suff w:val="tab"/>
    </w:lvl>
  </w:abstractNum>
  <w:abstractNum w:abstractNumId="30">
    <w:nsid w:val="5D862039"/>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31">
    <w:nsid w:val="5E9004A5"/>
    <w:lvl w:ilvl="0">
      <w:isLgl w:val="false"/>
      <w:lvlJc w:val="right"/>
      <w:lvlText w:val="%1."/>
      <w:numFmt w:val="decimal"/>
      <w:pPr>
        <w:pBdr/>
        <w:spacing/>
        <w:ind w:hanging="360" w:left="1495"/>
      </w:pPr>
      <w:rPr>
        <w:u w:val="none"/>
      </w:rPr>
      <w:start w:val="1"/>
      <w:suff w:val="tab"/>
    </w:lvl>
    <w:lvl w:ilvl="1">
      <w:isLgl w:val="false"/>
      <w:lvlJc w:val="right"/>
      <w:lvlText w:val="%1.%2."/>
      <w:numFmt w:val="decimal"/>
      <w:pPr>
        <w:pBdr/>
        <w:spacing/>
        <w:ind w:hanging="360" w:left="1440"/>
      </w:pPr>
      <w:rPr>
        <w:u w:val="none"/>
      </w:rPr>
      <w:start w:val="1"/>
      <w:suff w:val="tab"/>
    </w:lvl>
    <w:lvl w:ilvl="2">
      <w:isLgl w:val="false"/>
      <w:lvlJc w:val="right"/>
      <w:lvlText w:val="%1.%2.%3."/>
      <w:numFmt w:val="decimal"/>
      <w:pPr>
        <w:pBdr/>
        <w:spacing/>
        <w:ind w:hanging="360" w:left="2160"/>
      </w:pPr>
      <w:rPr>
        <w:rFonts w:ascii="Arial" w:hAnsi="Arial" w:eastAsia="Arial" w:cs="Arial"/>
        <w:b w:val="0"/>
        <w:bCs w:val="0"/>
        <w:sz w:val="20"/>
        <w:szCs w:val="20"/>
        <w:u w:val="none"/>
      </w:rPr>
      <w:start w:val="1"/>
      <w:suff w:val="tab"/>
    </w:lvl>
    <w:lvl w:ilvl="3">
      <w:isLgl w:val="false"/>
      <w:lvlJc w:val="right"/>
      <w:lvlText w:val="%1.%2.%3.%4."/>
      <w:numFmt w:val="decimal"/>
      <w:pPr>
        <w:pBdr/>
        <w:spacing/>
        <w:ind w:hanging="360" w:left="1495"/>
      </w:pPr>
      <w:rPr>
        <w:u w:val="none"/>
      </w:rPr>
      <w:start w:val="1"/>
      <w:suff w:val="tab"/>
    </w:lvl>
    <w:lvl w:ilvl="4">
      <w:isLgl w:val="false"/>
      <w:lvlJc w:val="right"/>
      <w:lvlText w:val="%1.%2.%3.%4.%5."/>
      <w:numFmt w:val="decimal"/>
      <w:pPr>
        <w:pBdr/>
        <w:spacing/>
        <w:ind w:hanging="360" w:left="3600"/>
      </w:pPr>
      <w:rPr>
        <w:u w:val="none"/>
      </w:rPr>
      <w:start w:val="1"/>
      <w:suff w:val="tab"/>
    </w:lvl>
    <w:lvl w:ilvl="5">
      <w:isLgl w:val="false"/>
      <w:lvlJc w:val="right"/>
      <w:lvlText w:val="%1.%2.%3.%4.%5.%6."/>
      <w:numFmt w:val="decimal"/>
      <w:pPr>
        <w:pBdr/>
        <w:spacing/>
        <w:ind w:hanging="360" w:left="4320"/>
      </w:pPr>
      <w:rPr>
        <w:u w:val="none"/>
      </w:rPr>
      <w:start w:val="1"/>
      <w:suff w:val="tab"/>
    </w:lvl>
    <w:lvl w:ilvl="6">
      <w:isLgl w:val="false"/>
      <w:lvlJc w:val="right"/>
      <w:lvlText w:val="%1.%2.%3.%4.%5.%6.%7."/>
      <w:numFmt w:val="decimal"/>
      <w:pPr>
        <w:pBdr/>
        <w:spacing/>
        <w:ind w:hanging="360" w:left="5040"/>
      </w:pPr>
      <w:rPr>
        <w:u w:val="none"/>
      </w:rPr>
      <w:start w:val="1"/>
      <w:suff w:val="tab"/>
    </w:lvl>
    <w:lvl w:ilvl="7">
      <w:isLgl w:val="false"/>
      <w:lvlJc w:val="right"/>
      <w:lvlText w:val="%1.%2.%3.%4.%5.%6.%7.%8."/>
      <w:numFmt w:val="decimal"/>
      <w:pPr>
        <w:pBdr/>
        <w:spacing/>
        <w:ind w:hanging="360" w:left="5760"/>
      </w:pPr>
      <w:rPr>
        <w:u w:val="none"/>
      </w:rPr>
      <w:start w:val="1"/>
      <w:suff w:val="tab"/>
    </w:lvl>
    <w:lvl w:ilvl="8">
      <w:isLgl w:val="false"/>
      <w:lvlJc w:val="right"/>
      <w:lvlText w:val="%1.%2.%3.%4.%5.%6.%7.%8.%9."/>
      <w:numFmt w:val="decimal"/>
      <w:pPr>
        <w:pBdr/>
        <w:spacing/>
        <w:ind w:hanging="360" w:left="6480"/>
      </w:pPr>
      <w:rPr>
        <w:u w:val="none"/>
      </w:rPr>
      <w:start w:val="1"/>
      <w:suff w:val="tab"/>
    </w:lvl>
  </w:abstractNum>
  <w:abstractNum w:abstractNumId="32">
    <w:nsid w:val="5F760147"/>
    <w:lvl w:ilvl="0">
      <w:isLgl w:val="false"/>
      <w:lvlJc w:val="left"/>
      <w:lvlText w:val="%1."/>
      <w:numFmt w:val="decimal"/>
      <w:pPr>
        <w:pBdr/>
        <w:tabs>
          <w:tab w:val="num" w:leader="none" w:pos="720"/>
        </w:tabs>
        <w:spacing/>
        <w:ind w:hanging="360" w:left="720"/>
      </w:pPr>
      <w:rPr/>
      <w:start w:val="6"/>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33">
    <w:nsid w:val="628B46D5"/>
    <w:lvl w:ilvl="0">
      <w:isLgl w:val="false"/>
      <w:lvlJc w:val="left"/>
      <w:lvlText w:val="%1"/>
      <w:numFmt w:val="decimal"/>
      <w:pPr>
        <w:pBdr/>
        <w:spacing/>
        <w:ind w:hanging="360" w:left="360"/>
      </w:pPr>
      <w:rPr>
        <w:rFonts w:hint="default" w:cs="Times New Roman"/>
      </w:rPr>
      <w:start w:val="3"/>
      <w:suff w:val="tab"/>
    </w:lvl>
    <w:lvl w:ilvl="1">
      <w:isLgl w:val="false"/>
      <w:lvlJc w:val="left"/>
      <w:lvlText w:val="%1.%2"/>
      <w:numFmt w:val="decimal"/>
      <w:pPr>
        <w:pBdr/>
        <w:spacing/>
        <w:ind w:hanging="360" w:left="360"/>
      </w:pPr>
      <w:rPr>
        <w:rFonts w:hint="default" w:cs="Times New Roman"/>
        <w:b/>
      </w:rPr>
      <w:start w:val="1"/>
      <w:suff w:val="tab"/>
    </w:lvl>
    <w:lvl w:ilvl="2">
      <w:isLgl w:val="false"/>
      <w:lvlJc w:val="left"/>
      <w:lvlText w:val="%1.%2.%3"/>
      <w:numFmt w:val="decimal"/>
      <w:pPr>
        <w:pBdr/>
        <w:spacing/>
        <w:ind w:hanging="720" w:left="720"/>
      </w:pPr>
      <w:rPr>
        <w:rFonts w:hint="default" w:cs="Times New Roman"/>
      </w:rPr>
      <w:start w:val="1"/>
      <w:suff w:val="tab"/>
    </w:lvl>
    <w:lvl w:ilvl="3">
      <w:isLgl w:val="false"/>
      <w:lvlJc w:val="left"/>
      <w:lvlText w:val="%1.%2.%3.%4"/>
      <w:numFmt w:val="decimal"/>
      <w:pPr>
        <w:pBdr/>
        <w:spacing/>
        <w:ind w:hanging="720" w:left="720"/>
      </w:pPr>
      <w:rPr>
        <w:rFonts w:hint="default" w:cs="Times New Roman"/>
      </w:rPr>
      <w:start w:val="1"/>
      <w:suff w:val="tab"/>
    </w:lvl>
    <w:lvl w:ilvl="4">
      <w:isLgl w:val="false"/>
      <w:lvlJc w:val="left"/>
      <w:lvlText w:val="%1.%2.%3.%4.%5"/>
      <w:numFmt w:val="decimal"/>
      <w:pPr>
        <w:pBdr/>
        <w:spacing/>
        <w:ind w:hanging="1080" w:left="1080"/>
      </w:pPr>
      <w:rPr>
        <w:rFonts w:hint="default" w:cs="Times New Roman"/>
      </w:rPr>
      <w:start w:val="1"/>
      <w:suff w:val="tab"/>
    </w:lvl>
    <w:lvl w:ilvl="5">
      <w:isLgl w:val="false"/>
      <w:lvlJc w:val="left"/>
      <w:lvlText w:val="%1.%2.%3.%4.%5.%6"/>
      <w:numFmt w:val="decimal"/>
      <w:pPr>
        <w:pBdr/>
        <w:spacing/>
        <w:ind w:hanging="1080" w:left="1080"/>
      </w:pPr>
      <w:rPr>
        <w:rFonts w:hint="default" w:cs="Times New Roman"/>
      </w:rPr>
      <w:start w:val="1"/>
      <w:suff w:val="tab"/>
    </w:lvl>
    <w:lvl w:ilvl="6">
      <w:isLgl w:val="false"/>
      <w:lvlJc w:val="left"/>
      <w:lvlText w:val="%1.%2.%3.%4.%5.%6.%7"/>
      <w:numFmt w:val="decimal"/>
      <w:pPr>
        <w:pBdr/>
        <w:spacing/>
        <w:ind w:hanging="1440" w:left="1440"/>
      </w:pPr>
      <w:rPr>
        <w:rFonts w:hint="default" w:cs="Times New Roman"/>
      </w:rPr>
      <w:start w:val="1"/>
      <w:suff w:val="tab"/>
    </w:lvl>
    <w:lvl w:ilvl="7">
      <w:isLgl w:val="false"/>
      <w:lvlJc w:val="left"/>
      <w:lvlText w:val="%1.%2.%3.%4.%5.%6.%7.%8"/>
      <w:numFmt w:val="decimal"/>
      <w:pPr>
        <w:pBdr/>
        <w:spacing/>
        <w:ind w:hanging="1440" w:left="1440"/>
      </w:pPr>
      <w:rPr>
        <w:rFonts w:hint="default" w:cs="Times New Roman"/>
      </w:rPr>
      <w:start w:val="1"/>
      <w:suff w:val="tab"/>
    </w:lvl>
    <w:lvl w:ilvl="8">
      <w:isLgl w:val="false"/>
      <w:lvlJc w:val="left"/>
      <w:lvlText w:val="%1.%2.%3.%4.%5.%6.%7.%8.%9"/>
      <w:numFmt w:val="decimal"/>
      <w:pPr>
        <w:pBdr/>
        <w:spacing/>
        <w:ind w:hanging="1800" w:left="1800"/>
      </w:pPr>
      <w:rPr>
        <w:rFonts w:hint="default" w:cs="Times New Roman"/>
      </w:rPr>
      <w:start w:val="1"/>
      <w:suff w:val="tab"/>
    </w:lvl>
  </w:abstractNum>
  <w:abstractNum w:abstractNumId="34">
    <w:nsid w:val="66296E43"/>
    <w:lvl w:ilvl="0">
      <w:isLgl w:val="false"/>
      <w:lvlJc w:val="left"/>
      <w:lvlText w:val="%1."/>
      <w:numFmt w:val="decimal"/>
      <w:pPr>
        <w:pBdr/>
        <w:tabs>
          <w:tab w:val="num" w:leader="none" w:pos="720"/>
        </w:tabs>
        <w:spacing/>
        <w:ind w:hanging="360" w:left="720"/>
      </w:pPr>
      <w:rPr/>
      <w:start w:val="9"/>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35">
    <w:nsid w:val="6D0C302D"/>
    <w:lvl w:ilvl="0">
      <w:isLgl w:val="false"/>
      <w:lvlJc w:val="left"/>
      <w:lvlText w:val="%1."/>
      <w:numFmt w:val="decimal"/>
      <w:pPr>
        <w:pBdr/>
        <w:tabs>
          <w:tab w:val="num" w:leader="none" w:pos="0"/>
        </w:tabs>
        <w:spacing/>
        <w:ind w:hanging="360" w:left="360"/>
      </w:pPr>
      <w:rPr/>
      <w:start w:val="1"/>
      <w:suff w:val="tab"/>
    </w:lvl>
    <w:lvl w:ilvl="1">
      <w:isLgl w:val="false"/>
      <w:lvlJc w:val="left"/>
      <w:lvlText w:val="%1.%2."/>
      <w:numFmt w:val="decimal"/>
      <w:pPr>
        <w:pBdr/>
        <w:tabs>
          <w:tab w:val="num" w:leader="none" w:pos="0"/>
        </w:tabs>
        <w:spacing/>
        <w:ind w:hanging="360" w:left="360"/>
      </w:pPr>
      <w:rPr/>
      <w:start w:val="1"/>
      <w:suff w:val="tab"/>
    </w:lvl>
    <w:lvl w:ilvl="2">
      <w:isLgl w:val="false"/>
      <w:lvlJc w:val="left"/>
      <w:lvlText w:val="%1.%2.%3."/>
      <w:numFmt w:val="decimal"/>
      <w:pPr>
        <w:pBdr/>
        <w:tabs>
          <w:tab w:val="num" w:leader="none" w:pos="0"/>
        </w:tabs>
        <w:spacing/>
        <w:ind w:hanging="720" w:left="720"/>
      </w:pPr>
      <w:rPr/>
      <w:start w:val="1"/>
      <w:suff w:val="tab"/>
    </w:lvl>
    <w:lvl w:ilvl="3">
      <w:isLgl w:val="false"/>
      <w:lvlJc w:val="left"/>
      <w:lvlText w:val="%1.%2.%3.%4."/>
      <w:numFmt w:val="decimal"/>
      <w:pPr>
        <w:pBdr/>
        <w:tabs>
          <w:tab w:val="num" w:leader="none" w:pos="0"/>
        </w:tabs>
        <w:spacing/>
        <w:ind w:hanging="720" w:left="720"/>
      </w:pPr>
      <w:rPr/>
      <w:start w:val="1"/>
      <w:suff w:val="tab"/>
    </w:lvl>
    <w:lvl w:ilvl="4">
      <w:isLgl w:val="false"/>
      <w:lvlJc w:val="left"/>
      <w:lvlText w:val="%1.%2.%3.%4.%5."/>
      <w:numFmt w:val="decimal"/>
      <w:pPr>
        <w:pBdr/>
        <w:tabs>
          <w:tab w:val="num" w:leader="none" w:pos="0"/>
        </w:tabs>
        <w:spacing/>
        <w:ind w:hanging="1080" w:left="1080"/>
      </w:pPr>
      <w:rPr/>
      <w:start w:val="1"/>
      <w:suff w:val="tab"/>
    </w:lvl>
    <w:lvl w:ilvl="5">
      <w:isLgl w:val="false"/>
      <w:lvlJc w:val="left"/>
      <w:lvlText w:val="%1.%2.%3.%4.%5.%6."/>
      <w:numFmt w:val="decimal"/>
      <w:pPr>
        <w:pBdr/>
        <w:tabs>
          <w:tab w:val="num" w:leader="none" w:pos="0"/>
        </w:tabs>
        <w:spacing/>
        <w:ind w:hanging="1080" w:left="1080"/>
      </w:pPr>
      <w:rPr/>
      <w:start w:val="1"/>
      <w:suff w:val="tab"/>
    </w:lvl>
    <w:lvl w:ilvl="6">
      <w:isLgl w:val="false"/>
      <w:lvlJc w:val="left"/>
      <w:lvlText w:val="%1.%2.%3.%4.%5.%6.%7."/>
      <w:numFmt w:val="decimal"/>
      <w:pPr>
        <w:pBdr/>
        <w:tabs>
          <w:tab w:val="num" w:leader="none" w:pos="0"/>
        </w:tabs>
        <w:spacing/>
        <w:ind w:hanging="1440" w:left="1440"/>
      </w:pPr>
      <w:rPr/>
      <w:start w:val="1"/>
      <w:suff w:val="tab"/>
    </w:lvl>
    <w:lvl w:ilvl="7">
      <w:isLgl w:val="false"/>
      <w:lvlJc w:val="left"/>
      <w:lvlText w:val="%1.%2.%3.%4.%5.%6.%7.%8."/>
      <w:numFmt w:val="decimal"/>
      <w:pPr>
        <w:pBdr/>
        <w:tabs>
          <w:tab w:val="num" w:leader="none" w:pos="0"/>
        </w:tabs>
        <w:spacing/>
        <w:ind w:hanging="1440" w:left="1440"/>
      </w:pPr>
      <w:rPr/>
      <w:start w:val="1"/>
      <w:suff w:val="tab"/>
    </w:lvl>
    <w:lvl w:ilvl="8">
      <w:isLgl w:val="false"/>
      <w:lvlJc w:val="left"/>
      <w:lvlText w:val="%1.%2.%3.%4.%5.%6.%7.%8.%9."/>
      <w:numFmt w:val="decimal"/>
      <w:pPr>
        <w:pBdr/>
        <w:tabs>
          <w:tab w:val="num" w:leader="none" w:pos="0"/>
        </w:tabs>
        <w:spacing/>
        <w:ind w:hanging="1800" w:left="1800"/>
      </w:pPr>
      <w:rPr/>
      <w:start w:val="1"/>
      <w:suff w:val="tab"/>
    </w:lvl>
  </w:abstractNum>
  <w:abstractNum w:abstractNumId="36">
    <w:nsid w:val="78B33115"/>
    <w:lvl w:ilvl="0">
      <w:isLgl w:val="false"/>
      <w:lvlJc w:val="left"/>
      <w:lvlText w:val="%1."/>
      <w:numFmt w:val="decimal"/>
      <w:pPr>
        <w:pBdr/>
        <w:spacing/>
        <w:ind w:hanging="360" w:left="360"/>
      </w:pPr>
      <w:rPr>
        <w:rFonts w:hint="default"/>
        <w:b w:val="0"/>
      </w:rPr>
      <w:start w:val="2"/>
      <w:suff w:val="tab"/>
    </w:lvl>
    <w:lvl w:ilvl="1">
      <w:isLgl w:val="false"/>
      <w:lvlJc w:val="left"/>
      <w:lvlText w:val="%1.%2."/>
      <w:numFmt w:val="decimal"/>
      <w:pPr>
        <w:pBdr/>
        <w:spacing/>
        <w:ind w:hanging="360" w:left="360"/>
      </w:pPr>
      <w:rPr>
        <w:rFonts w:hint="default"/>
        <w:b w:val="0"/>
      </w:rPr>
      <w:start w:val="1"/>
      <w:suff w:val="tab"/>
    </w:lvl>
    <w:lvl w:ilvl="2">
      <w:isLgl w:val="false"/>
      <w:lvlJc w:val="left"/>
      <w:lvlText w:val="%1.%2.%3."/>
      <w:numFmt w:val="decimal"/>
      <w:pPr>
        <w:pBdr/>
        <w:spacing/>
        <w:ind w:hanging="720" w:left="720"/>
      </w:pPr>
      <w:rPr>
        <w:rFonts w:hint="default"/>
        <w:b w:val="0"/>
      </w:rPr>
      <w:start w:val="1"/>
      <w:suff w:val="tab"/>
    </w:lvl>
    <w:lvl w:ilvl="3">
      <w:isLgl w:val="false"/>
      <w:lvlJc w:val="left"/>
      <w:lvlText w:val="%1.%2.%3.%4."/>
      <w:numFmt w:val="decimal"/>
      <w:pPr>
        <w:pBdr/>
        <w:spacing/>
        <w:ind w:hanging="720" w:left="720"/>
      </w:pPr>
      <w:rPr>
        <w:rFonts w:hint="default"/>
        <w:b w:val="0"/>
      </w:rPr>
      <w:start w:val="1"/>
      <w:suff w:val="tab"/>
    </w:lvl>
    <w:lvl w:ilvl="4">
      <w:isLgl w:val="false"/>
      <w:lvlJc w:val="left"/>
      <w:lvlText w:val="%1.%2.%3.%4.%5."/>
      <w:numFmt w:val="decimal"/>
      <w:pPr>
        <w:pBdr/>
        <w:spacing/>
        <w:ind w:hanging="1080" w:left="1080"/>
      </w:pPr>
      <w:rPr>
        <w:rFonts w:hint="default"/>
        <w:b w:val="0"/>
      </w:rPr>
      <w:start w:val="1"/>
      <w:suff w:val="tab"/>
    </w:lvl>
    <w:lvl w:ilvl="5">
      <w:isLgl w:val="false"/>
      <w:lvlJc w:val="left"/>
      <w:lvlText w:val="%1.%2.%3.%4.%5.%6."/>
      <w:numFmt w:val="decimal"/>
      <w:pPr>
        <w:pBdr/>
        <w:spacing/>
        <w:ind w:hanging="1080" w:left="1080"/>
      </w:pPr>
      <w:rPr>
        <w:rFonts w:hint="default"/>
        <w:b w:val="0"/>
      </w:rPr>
      <w:start w:val="1"/>
      <w:suff w:val="tab"/>
    </w:lvl>
    <w:lvl w:ilvl="6">
      <w:isLgl w:val="false"/>
      <w:lvlJc w:val="left"/>
      <w:lvlText w:val="%1.%2.%3.%4.%5.%6.%7."/>
      <w:numFmt w:val="decimal"/>
      <w:pPr>
        <w:pBdr/>
        <w:spacing/>
        <w:ind w:hanging="1440" w:left="1440"/>
      </w:pPr>
      <w:rPr>
        <w:rFonts w:hint="default"/>
        <w:b w:val="0"/>
      </w:rPr>
      <w:start w:val="1"/>
      <w:suff w:val="tab"/>
    </w:lvl>
    <w:lvl w:ilvl="7">
      <w:isLgl w:val="false"/>
      <w:lvlJc w:val="left"/>
      <w:lvlText w:val="%1.%2.%3.%4.%5.%6.%7.%8."/>
      <w:numFmt w:val="decimal"/>
      <w:pPr>
        <w:pBdr/>
        <w:spacing/>
        <w:ind w:hanging="1440" w:left="1440"/>
      </w:pPr>
      <w:rPr>
        <w:rFonts w:hint="default"/>
        <w:b w:val="0"/>
      </w:rPr>
      <w:start w:val="1"/>
      <w:suff w:val="tab"/>
    </w:lvl>
    <w:lvl w:ilvl="8">
      <w:isLgl w:val="false"/>
      <w:lvlJc w:val="left"/>
      <w:lvlText w:val="%1.%2.%3.%4.%5.%6.%7.%8.%9."/>
      <w:numFmt w:val="decimal"/>
      <w:pPr>
        <w:pBdr/>
        <w:spacing/>
        <w:ind w:hanging="1800" w:left="1800"/>
      </w:pPr>
      <w:rPr>
        <w:rFonts w:hint="default"/>
        <w:b w:val="0"/>
      </w:rPr>
      <w:start w:val="1"/>
      <w:suff w:val="tab"/>
    </w:lvl>
  </w:abstractNum>
  <w:num w:numId="1">
    <w:abstractNumId w:val="21"/>
  </w:num>
  <w:num w:numId="2">
    <w:abstractNumId w:val="35"/>
  </w:num>
  <w:num w:numId="3">
    <w:abstractNumId w:val="16"/>
  </w:num>
  <w:num w:numId="4">
    <w:abstractNumId w:val="13"/>
  </w:num>
  <w:num w:numId="5">
    <w:abstractNumId w:val="10"/>
  </w:num>
  <w:num w:numId="6">
    <w:abstractNumId w:val="12"/>
  </w:num>
  <w:num w:numId="7">
    <w:abstractNumId w:val="27"/>
  </w:num>
  <w:num w:numId="8">
    <w:abstractNumId w:val="7"/>
  </w:num>
  <w:num w:numId="9">
    <w:abstractNumId w:val="23"/>
  </w:num>
  <w:num w:numId="10">
    <w:abstractNumId w:val="31"/>
  </w:num>
  <w:num w:numId="11">
    <w:abstractNumId w:val="30"/>
  </w:num>
  <w:num w:numId="12">
    <w:abstractNumId w:val="8"/>
  </w:num>
  <w:num w:numId="13">
    <w:abstractNumId w:val="2"/>
  </w:num>
  <w:num w:numId="14">
    <w:abstractNumId w:val="3"/>
  </w:num>
  <w:num w:numId="15">
    <w:abstractNumId w:val="33"/>
  </w:num>
  <w:num w:numId="16">
    <w:abstractNumId w:val="22"/>
  </w:num>
  <w:num w:numId="17">
    <w:abstractNumId w:val="20"/>
    <w:lvlOverride w:ilvl="0">
      <w:lvl w:ilvl="0">
        <w:isLgl w:val="false"/>
        <w:lvlJc w:val="left"/>
        <w:lvlText w:val="%1."/>
        <w:numFmt w:val="decimal"/>
        <w:pPr>
          <w:pBdr/>
          <w:spacing/>
          <w:ind/>
        </w:pPr>
        <w:rPr/>
        <w:start w:val="0"/>
        <w:suff w:val="tab"/>
      </w:lvl>
    </w:lvlOverride>
  </w:num>
  <w:num w:numId="18">
    <w:abstractNumId w:val="25"/>
    <w:lvlOverride w:ilvl="0">
      <w:lvl w:ilvl="0">
        <w:isLgl w:val="false"/>
        <w:lvlJc w:val="left"/>
        <w:lvlText w:val="%1."/>
        <w:numFmt w:val="decimal"/>
        <w:pPr>
          <w:pBdr/>
          <w:spacing/>
          <w:ind/>
        </w:pPr>
        <w:rPr/>
        <w:start w:val="0"/>
        <w:suff w:val="tab"/>
      </w:lvl>
    </w:lvlOverride>
  </w:num>
  <w:num w:numId="19">
    <w:abstractNumId w:val="28"/>
    <w:lvlOverride w:ilvl="0">
      <w:lvl w:ilvl="0">
        <w:isLgl w:val="false"/>
        <w:lvlJc w:val="left"/>
        <w:lvlText w:val="%1."/>
        <w:numFmt w:val="decimal"/>
        <w:pPr>
          <w:pBdr/>
          <w:spacing/>
          <w:ind/>
        </w:pPr>
        <w:rPr/>
        <w:start w:val="0"/>
        <w:suff w:val="tab"/>
      </w:lvl>
    </w:lvlOverride>
  </w:num>
  <w:num w:numId="20">
    <w:abstractNumId w:val="26"/>
    <w:lvlOverride w:ilvl="0">
      <w:lvl w:ilvl="0">
        <w:isLgl w:val="false"/>
        <w:lvlJc w:val="left"/>
        <w:lvlText w:val="%1."/>
        <w:numFmt w:val="decimal"/>
        <w:pPr>
          <w:pBdr/>
          <w:spacing/>
          <w:ind/>
        </w:pPr>
        <w:rPr/>
        <w:start w:val="0"/>
        <w:suff w:val="tab"/>
      </w:lvl>
    </w:lvlOverride>
  </w:num>
  <w:num w:numId="21">
    <w:abstractNumId w:val="32"/>
    <w:lvlOverride w:ilvl="0">
      <w:lvl w:ilvl="0">
        <w:isLgl w:val="false"/>
        <w:lvlJc w:val="left"/>
        <w:lvlText w:val="%1."/>
        <w:numFmt w:val="decimal"/>
        <w:pPr>
          <w:pBdr/>
          <w:spacing/>
          <w:ind/>
        </w:pPr>
        <w:rPr/>
        <w:start w:val="0"/>
        <w:suff w:val="tab"/>
      </w:lvl>
    </w:lvlOverride>
  </w:num>
  <w:num w:numId="22">
    <w:abstractNumId w:val="4"/>
    <w:lvlOverride w:ilvl="0">
      <w:lvl w:ilvl="0">
        <w:isLgl w:val="false"/>
        <w:lvlJc w:val="left"/>
        <w:lvlText w:val="%1."/>
        <w:numFmt w:val="decimal"/>
        <w:pPr>
          <w:pBdr/>
          <w:spacing/>
          <w:ind/>
        </w:pPr>
        <w:rPr/>
        <w:start w:val="0"/>
        <w:suff w:val="tab"/>
      </w:lvl>
    </w:lvlOverride>
  </w:num>
  <w:num w:numId="23">
    <w:abstractNumId w:val="18"/>
    <w:lvlOverride w:ilvl="0">
      <w:lvl w:ilvl="0">
        <w:isLgl w:val="false"/>
        <w:lvlJc w:val="left"/>
        <w:lvlText w:val="%1."/>
        <w:numFmt w:val="decimal"/>
        <w:pPr>
          <w:pBdr/>
          <w:spacing/>
          <w:ind/>
        </w:pPr>
        <w:rPr/>
        <w:start w:val="0"/>
        <w:suff w:val="tab"/>
      </w:lvl>
    </w:lvlOverride>
  </w:num>
  <w:num w:numId="24">
    <w:abstractNumId w:val="34"/>
    <w:lvlOverride w:ilvl="0">
      <w:lvl w:ilvl="0">
        <w:isLgl w:val="false"/>
        <w:lvlJc w:val="left"/>
        <w:lvlText w:val="%1."/>
        <w:numFmt w:val="decimal"/>
        <w:pPr>
          <w:pBdr/>
          <w:spacing/>
          <w:ind/>
        </w:pPr>
        <w:rPr/>
        <w:start w:val="0"/>
        <w:suff w:val="tab"/>
      </w:lvl>
    </w:lvlOverride>
  </w:num>
  <w:num w:numId="25">
    <w:abstractNumId w:val="11"/>
    <w:lvlOverride w:ilvl="0">
      <w:lvl w:ilvl="0">
        <w:isLgl w:val="false"/>
        <w:lvlJc w:val="left"/>
        <w:lvlText w:val="%1."/>
        <w:numFmt w:val="decimal"/>
        <w:pPr>
          <w:pBdr/>
          <w:spacing/>
          <w:ind/>
        </w:pPr>
        <w:rPr/>
        <w:start w:val="0"/>
        <w:suff w:val="tab"/>
      </w:lvl>
    </w:lvlOverride>
  </w:num>
  <w:num w:numId="26">
    <w:abstractNumId w:val="5"/>
  </w:num>
  <w:num w:numId="27">
    <w:abstractNumId w:val="36"/>
  </w:num>
  <w:num w:numId="28">
    <w:abstractNumId w:val="29"/>
  </w:num>
  <w:num w:numId="29">
    <w:abstractNumId w:val="19"/>
  </w:num>
  <w:num w:numId="30">
    <w:abstractNumId w:val="9"/>
  </w:num>
  <w:num w:numId="31">
    <w:abstractNumId w:val="6"/>
  </w:num>
  <w:num w:numId="32">
    <w:abstractNumId w:val="24"/>
  </w:num>
  <w:num w:numId="33">
    <w:abstractNumId w:val="17"/>
  </w:num>
  <w:num w:numId="34">
    <w:abstractNumId w:val="15"/>
  </w:num>
  <w:num w:numId="35">
    <w:abstractNumId w:val="14"/>
  </w:num>
  <w:num w:numId="36">
    <w:abstractNumId w:val="1"/>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autoHyphenation w:val="true"/>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pt-BR" w:eastAsia="en-US"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881" w:default="1">
    <w:name w:val="Normal"/>
    <w:qFormat/>
    <w:pPr>
      <w:pBdr/>
      <w:spacing/>
      <w:ind/>
    </w:pPr>
  </w:style>
  <w:style w:type="paragraph" w:styleId="882">
    <w:name w:val="Heading 1"/>
    <w:basedOn w:val="881"/>
    <w:next w:val="881"/>
    <w:link w:val="979"/>
    <w:qFormat/>
    <w:pPr>
      <w:keepNext w:val="true"/>
      <w:pBdr/>
      <w:spacing w:after="60" w:before="240"/>
      <w:ind/>
      <w:outlineLvl w:val="0"/>
    </w:pPr>
    <w:rPr>
      <w:rFonts w:ascii="Arial" w:hAnsi="Arial" w:cs="Arial"/>
      <w:b/>
      <w:bCs/>
      <w:sz w:val="32"/>
      <w:szCs w:val="32"/>
      <w:lang w:val="en-US"/>
    </w:rPr>
  </w:style>
  <w:style w:type="paragraph" w:styleId="883">
    <w:name w:val="Heading 2"/>
    <w:basedOn w:val="881"/>
    <w:next w:val="881"/>
    <w:link w:val="958"/>
    <w:unhideWhenUsed/>
    <w:qFormat/>
    <w:pPr>
      <w:keepNext w:val="true"/>
      <w:widowControl w:val="false"/>
      <w:pBdr/>
      <w:tabs>
        <w:tab w:val="left" w:leader="none" w:pos="857"/>
        <w:tab w:val="left" w:leader="none" w:pos="2714"/>
        <w:tab w:val="left" w:leader="none" w:pos="6592"/>
        <w:tab w:val="left" w:leader="none" w:pos="8576"/>
        <w:tab w:val="left" w:leader="none" w:pos="10419"/>
      </w:tabs>
      <w:spacing/>
      <w:ind/>
      <w:jc w:val="center"/>
      <w:outlineLvl w:val="1"/>
    </w:pPr>
    <w:rPr>
      <w:rFonts w:ascii="Arial" w:hAnsi="Arial"/>
      <w:b/>
      <w:color w:val="000000"/>
      <w:sz w:val="22"/>
    </w:rPr>
  </w:style>
  <w:style w:type="paragraph" w:styleId="884">
    <w:name w:val="Heading 3"/>
    <w:basedOn w:val="881"/>
    <w:next w:val="881"/>
    <w:link w:val="980"/>
    <w:unhideWhenUsed/>
    <w:qFormat/>
    <w:pPr>
      <w:keepNext w:val="true"/>
      <w:pBdr/>
      <w:spacing w:after="60" w:before="240"/>
      <w:ind/>
      <w:outlineLvl w:val="2"/>
    </w:pPr>
    <w:rPr>
      <w:rFonts w:ascii="Arial" w:hAnsi="Arial" w:cs="Arial"/>
      <w:b/>
      <w:bCs/>
      <w:sz w:val="26"/>
      <w:szCs w:val="26"/>
    </w:rPr>
  </w:style>
  <w:style w:type="paragraph" w:styleId="885">
    <w:name w:val="Heading 4"/>
    <w:basedOn w:val="881"/>
    <w:next w:val="881"/>
    <w:link w:val="981"/>
    <w:uiPriority w:val="9"/>
    <w:unhideWhenUsed/>
    <w:qFormat/>
    <w:pPr>
      <w:keepNext w:val="true"/>
      <w:pBdr/>
      <w:spacing w:after="60" w:before="240"/>
      <w:ind/>
      <w:outlineLvl w:val="3"/>
    </w:pPr>
    <w:rPr>
      <w:b/>
      <w:bCs/>
      <w:sz w:val="28"/>
      <w:szCs w:val="28"/>
    </w:rPr>
  </w:style>
  <w:style w:type="paragraph" w:styleId="886">
    <w:name w:val="Heading 5"/>
    <w:basedOn w:val="881"/>
    <w:next w:val="881"/>
    <w:link w:val="982"/>
    <w:unhideWhenUsed/>
    <w:qFormat/>
    <w:pPr>
      <w:pBdr/>
      <w:spacing w:after="60" w:before="240"/>
      <w:ind/>
      <w:outlineLvl w:val="4"/>
    </w:pPr>
    <w:rPr>
      <w:b/>
      <w:bCs/>
      <w:i/>
      <w:iCs/>
      <w:sz w:val="26"/>
      <w:szCs w:val="26"/>
    </w:rPr>
  </w:style>
  <w:style w:type="paragraph" w:styleId="887">
    <w:name w:val="Heading 6"/>
    <w:basedOn w:val="881"/>
    <w:next w:val="881"/>
    <w:link w:val="941"/>
    <w:uiPriority w:val="9"/>
    <w:semiHidden/>
    <w:unhideWhenUsed/>
    <w:qFormat/>
    <w:pPr>
      <w:keepNext w:val="true"/>
      <w:keepLines w:val="true"/>
      <w:pBdr/>
      <w:spacing w:before="40"/>
      <w:ind/>
      <w:outlineLvl w:val="5"/>
    </w:pPr>
    <w:rPr>
      <w:rFonts w:ascii="Arial" w:hAnsi="Arial" w:eastAsia="Arial" w:cs="Arial"/>
      <w:i/>
      <w:iCs/>
      <w:color w:val="595959" w:themeColor="text1" w:themeTint="A6"/>
    </w:rPr>
  </w:style>
  <w:style w:type="paragraph" w:styleId="888">
    <w:name w:val="Heading 7"/>
    <w:basedOn w:val="881"/>
    <w:next w:val="881"/>
    <w:link w:val="942"/>
    <w:uiPriority w:val="9"/>
    <w:unhideWhenUsed/>
    <w:qFormat/>
    <w:pPr>
      <w:keepNext w:val="true"/>
      <w:keepLines w:val="true"/>
      <w:pBdr/>
      <w:spacing w:before="40"/>
      <w:ind/>
      <w:outlineLvl w:val="6"/>
    </w:pPr>
    <w:rPr>
      <w:rFonts w:ascii="Arial" w:hAnsi="Arial" w:eastAsia="Arial" w:cs="Arial"/>
      <w:color w:val="595959" w:themeColor="text1" w:themeTint="A6"/>
    </w:rPr>
  </w:style>
  <w:style w:type="paragraph" w:styleId="889">
    <w:name w:val="Heading 8"/>
    <w:basedOn w:val="881"/>
    <w:next w:val="881"/>
    <w:link w:val="943"/>
    <w:uiPriority w:val="9"/>
    <w:unhideWhenUsed/>
    <w:qFormat/>
    <w:pPr>
      <w:keepNext w:val="true"/>
      <w:keepLines w:val="true"/>
      <w:pBdr/>
      <w:spacing/>
      <w:ind/>
      <w:outlineLvl w:val="7"/>
    </w:pPr>
    <w:rPr>
      <w:rFonts w:ascii="Arial" w:hAnsi="Arial" w:eastAsia="Arial" w:cs="Arial"/>
      <w:i/>
      <w:iCs/>
      <w:color w:val="262626" w:themeColor="text1" w:themeTint="D9"/>
    </w:rPr>
  </w:style>
  <w:style w:type="paragraph" w:styleId="890">
    <w:name w:val="Heading 9"/>
    <w:basedOn w:val="881"/>
    <w:next w:val="881"/>
    <w:link w:val="944"/>
    <w:uiPriority w:val="9"/>
    <w:unhideWhenUsed/>
    <w:qFormat/>
    <w:pPr>
      <w:keepNext w:val="true"/>
      <w:keepLines w:val="true"/>
      <w:pBdr/>
      <w:spacing/>
      <w:ind/>
      <w:outlineLvl w:val="8"/>
    </w:pPr>
    <w:rPr>
      <w:rFonts w:ascii="Arial" w:hAnsi="Arial" w:eastAsia="Arial" w:cs="Arial"/>
      <w:i/>
      <w:iCs/>
      <w:color w:val="262626" w:themeColor="text1" w:themeTint="D9"/>
    </w:rPr>
  </w:style>
  <w:style w:type="character" w:styleId="891" w:default="1">
    <w:name w:val="Default Paragraph Font"/>
    <w:uiPriority w:val="1"/>
    <w:semiHidden/>
    <w:unhideWhenUsed/>
    <w:pPr>
      <w:pBdr/>
      <w:spacing/>
      <w:ind/>
    </w:pPr>
  </w:style>
  <w:style w:type="table" w:styleId="892"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93" w:default="1">
    <w:name w:val="No List"/>
    <w:uiPriority w:val="99"/>
    <w:semiHidden/>
    <w:unhideWhenUsed/>
    <w:pPr>
      <w:pBdr/>
      <w:spacing/>
      <w:ind/>
    </w:pPr>
  </w:style>
  <w:style w:type="table" w:styleId="894">
    <w:name w:val="Plain Table 1"/>
    <w:basedOn w:val="892"/>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Plain Table 2"/>
    <w:basedOn w:val="892"/>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Plain Table 3"/>
    <w:basedOn w:val="892"/>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Plain Table 4"/>
    <w:basedOn w:val="892"/>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Plain Table 5"/>
    <w:basedOn w:val="892"/>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Grid Table 1 Light"/>
    <w:basedOn w:val="892"/>
    <w:uiPriority w:val="99"/>
    <w:pPr>
      <w:pBdr/>
      <w:spacing/>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Grid Table 2"/>
    <w:basedOn w:val="892"/>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Grid Table 3"/>
    <w:basedOn w:val="892"/>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Grid Table 4"/>
    <w:basedOn w:val="892"/>
    <w:uiPriority w:val="59"/>
    <w:pPr>
      <w:pBdr/>
      <w:spacing/>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Grid Table 5 Dark"/>
    <w:basedOn w:val="892"/>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Grid Table 6 Colorful"/>
    <w:basedOn w:val="892"/>
    <w:uiPriority w:val="99"/>
    <w:pPr>
      <w:pBdr/>
      <w:spacing/>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Grid Table 7 Colorful"/>
    <w:basedOn w:val="892"/>
    <w:uiPriority w:val="99"/>
    <w:pPr>
      <w:pBdr/>
      <w:spacing/>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List Table 1 Light"/>
    <w:basedOn w:val="892"/>
    <w:uiPriority w:val="99"/>
    <w:pPr>
      <w:pBdr/>
      <w:spacing/>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List Table 2"/>
    <w:basedOn w:val="892"/>
    <w:uiPriority w:val="99"/>
    <w:pPr>
      <w:pBdr/>
      <w:spacing/>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List Table 3"/>
    <w:basedOn w:val="892"/>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List Table 4"/>
    <w:basedOn w:val="892"/>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List Table 5 Dark"/>
    <w:basedOn w:val="892"/>
    <w:uiPriority w:val="99"/>
    <w:pPr>
      <w:pBdr/>
      <w:spacing/>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List Table 6 Colorful"/>
    <w:basedOn w:val="892"/>
    <w:uiPriority w:val="99"/>
    <w:pPr>
      <w:pBdr/>
      <w:spacing/>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List Table 7 Colorful"/>
    <w:basedOn w:val="892"/>
    <w:uiPriority w:val="99"/>
    <w:pPr>
      <w:pBdr/>
      <w:spacing/>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913" w:customStyle="1">
    <w:name w:val="Heading 6 Char"/>
    <w:basedOn w:val="891"/>
    <w:uiPriority w:val="9"/>
    <w:pPr>
      <w:pBdr/>
      <w:spacing/>
      <w:ind/>
    </w:pPr>
    <w:rPr>
      <w:rFonts w:ascii="Arial" w:hAnsi="Arial" w:eastAsia="Arial" w:cs="Arial"/>
      <w:i/>
      <w:iCs/>
      <w:color w:val="595959" w:themeColor="text1" w:themeTint="A6"/>
    </w:rPr>
  </w:style>
  <w:style w:type="character" w:styleId="914" w:customStyle="1">
    <w:name w:val="Heading 7 Char"/>
    <w:basedOn w:val="891"/>
    <w:uiPriority w:val="9"/>
    <w:pPr>
      <w:pBdr/>
      <w:spacing/>
      <w:ind/>
    </w:pPr>
    <w:rPr>
      <w:rFonts w:ascii="Arial" w:hAnsi="Arial" w:eastAsia="Arial" w:cs="Arial"/>
      <w:color w:val="595959" w:themeColor="text1" w:themeTint="A6"/>
    </w:rPr>
  </w:style>
  <w:style w:type="character" w:styleId="915" w:customStyle="1">
    <w:name w:val="Heading 8 Char"/>
    <w:basedOn w:val="891"/>
    <w:uiPriority w:val="9"/>
    <w:pPr>
      <w:pBdr/>
      <w:spacing/>
      <w:ind/>
    </w:pPr>
    <w:rPr>
      <w:rFonts w:ascii="Arial" w:hAnsi="Arial" w:eastAsia="Arial" w:cs="Arial"/>
      <w:i/>
      <w:iCs/>
      <w:color w:val="272727" w:themeColor="text1" w:themeTint="D8"/>
    </w:rPr>
  </w:style>
  <w:style w:type="character" w:styleId="916" w:customStyle="1">
    <w:name w:val="Heading 9 Char"/>
    <w:basedOn w:val="891"/>
    <w:uiPriority w:val="9"/>
    <w:pPr>
      <w:pBdr/>
      <w:spacing/>
      <w:ind/>
    </w:pPr>
    <w:rPr>
      <w:rFonts w:ascii="Arial" w:hAnsi="Arial" w:eastAsia="Arial" w:cs="Arial"/>
      <w:i/>
      <w:iCs/>
      <w:color w:val="272727" w:themeColor="text1" w:themeTint="D8"/>
    </w:rPr>
  </w:style>
  <w:style w:type="character" w:styleId="917" w:customStyle="1">
    <w:name w:val="Subtitle Char"/>
    <w:basedOn w:val="891"/>
    <w:uiPriority w:val="11"/>
    <w:pPr>
      <w:pBdr/>
      <w:spacing/>
      <w:ind/>
    </w:pPr>
    <w:rPr>
      <w:color w:val="595959" w:themeColor="text1" w:themeTint="A6"/>
      <w:spacing w:val="15"/>
      <w:sz w:val="28"/>
      <w:szCs w:val="28"/>
    </w:rPr>
  </w:style>
  <w:style w:type="character" w:styleId="918" w:customStyle="1">
    <w:name w:val="Intense Quote Char"/>
    <w:basedOn w:val="891"/>
    <w:uiPriority w:val="30"/>
    <w:pPr>
      <w:pBdr/>
      <w:spacing/>
      <w:ind/>
    </w:pPr>
    <w:rPr>
      <w:i/>
      <w:iCs/>
      <w:color w:val="365f91" w:themeColor="accent1" w:themeShade="BF"/>
    </w:rPr>
  </w:style>
  <w:style w:type="character" w:styleId="919">
    <w:name w:val="Intense Reference"/>
    <w:basedOn w:val="891"/>
    <w:uiPriority w:val="32"/>
    <w:qFormat/>
    <w:pPr>
      <w:pBdr/>
      <w:spacing/>
      <w:ind/>
    </w:pPr>
    <w:rPr>
      <w:b/>
      <w:bCs/>
      <w:smallCaps/>
      <w:color w:val="365f91" w:themeColor="accent1" w:themeShade="BF"/>
      <w:spacing w:val="5"/>
    </w:rPr>
  </w:style>
  <w:style w:type="character" w:styleId="920">
    <w:name w:val="Subtle Emphasis"/>
    <w:basedOn w:val="891"/>
    <w:uiPriority w:val="19"/>
    <w:qFormat/>
    <w:pPr>
      <w:pBdr/>
      <w:spacing/>
      <w:ind/>
    </w:pPr>
    <w:rPr>
      <w:i/>
      <w:iCs/>
      <w:color w:val="404040" w:themeColor="text1" w:themeTint="BF"/>
    </w:rPr>
  </w:style>
  <w:style w:type="character" w:styleId="921">
    <w:name w:val="Subtle Reference"/>
    <w:basedOn w:val="891"/>
    <w:uiPriority w:val="31"/>
    <w:qFormat/>
    <w:pPr>
      <w:pBdr/>
      <w:spacing/>
      <w:ind/>
    </w:pPr>
    <w:rPr>
      <w:smallCaps/>
      <w:color w:val="5a5a5a" w:themeColor="text1" w:themeTint="A5"/>
    </w:rPr>
  </w:style>
  <w:style w:type="character" w:styleId="922">
    <w:name w:val="Book Title"/>
    <w:basedOn w:val="891"/>
    <w:uiPriority w:val="33"/>
    <w:qFormat/>
    <w:pPr>
      <w:pBdr/>
      <w:spacing/>
      <w:ind/>
    </w:pPr>
    <w:rPr>
      <w:b/>
      <w:bCs/>
      <w:i/>
      <w:iCs/>
      <w:spacing w:val="5"/>
    </w:rPr>
  </w:style>
  <w:style w:type="character" w:styleId="923" w:customStyle="1">
    <w:name w:val="Caracteres de nota de fim"/>
    <w:qFormat/>
    <w:pPr>
      <w:pBdr/>
      <w:spacing/>
      <w:ind/>
    </w:pPr>
    <w:rPr>
      <w:rFonts w:cs="Times New Roman"/>
      <w:vertAlign w:val="superscript"/>
    </w:rPr>
  </w:style>
  <w:style w:type="character" w:styleId="924">
    <w:name w:val="endnote reference"/>
    <w:pPr>
      <w:pBdr/>
      <w:spacing/>
      <w:ind/>
    </w:pPr>
    <w:rPr>
      <w:rFonts w:cs="Times New Roman"/>
      <w:vertAlign w:val="superscript"/>
    </w:rPr>
  </w:style>
  <w:style w:type="character" w:styleId="925" w:customStyle="1">
    <w:name w:val="Endnote Characters"/>
    <w:uiPriority w:val="99"/>
    <w:unhideWhenUsed/>
    <w:qFormat/>
    <w:pPr>
      <w:pBdr/>
      <w:spacing/>
      <w:ind/>
    </w:pPr>
    <w:rPr>
      <w:rFonts w:cs="Times New Roman"/>
      <w:vertAlign w:val="superscript"/>
    </w:rPr>
  </w:style>
  <w:style w:type="character" w:styleId="926">
    <w:name w:val="Strong"/>
    <w:uiPriority w:val="22"/>
    <w:qFormat/>
    <w:pPr>
      <w:pBdr/>
      <w:spacing/>
      <w:ind/>
    </w:pPr>
    <w:rPr>
      <w:b/>
      <w:bCs/>
    </w:rPr>
  </w:style>
  <w:style w:type="character" w:styleId="927">
    <w:name w:val="annotation reference"/>
    <w:unhideWhenUsed/>
    <w:qFormat/>
    <w:pPr>
      <w:pBdr/>
      <w:spacing/>
      <w:ind/>
    </w:pPr>
    <w:rPr>
      <w:sz w:val="16"/>
      <w:szCs w:val="16"/>
    </w:rPr>
  </w:style>
  <w:style w:type="character" w:styleId="928" w:customStyle="1">
    <w:name w:val="HiperlinkVisitado1"/>
    <w:uiPriority w:val="99"/>
    <w:unhideWhenUsed/>
    <w:qFormat/>
    <w:pPr>
      <w:pBdr/>
      <w:spacing/>
      <w:ind/>
    </w:pPr>
    <w:rPr>
      <w:color w:val="954f72"/>
      <w:u w:val="single"/>
    </w:rPr>
  </w:style>
  <w:style w:type="character" w:styleId="929">
    <w:name w:val="Emphasis"/>
    <w:qFormat/>
    <w:pPr>
      <w:pBdr/>
      <w:spacing/>
      <w:ind/>
    </w:pPr>
    <w:rPr>
      <w:i/>
      <w:iCs/>
    </w:rPr>
  </w:style>
  <w:style w:type="character" w:styleId="930" w:customStyle="1">
    <w:name w:val="Caracteres de nota de rodapé"/>
    <w:qFormat/>
    <w:pPr>
      <w:pBdr/>
      <w:spacing/>
      <w:ind/>
    </w:pPr>
    <w:rPr>
      <w:rFonts w:cs="Times New Roman"/>
      <w:vertAlign w:val="superscript"/>
    </w:rPr>
  </w:style>
  <w:style w:type="character" w:styleId="931">
    <w:name w:val="footnote reference"/>
    <w:pPr>
      <w:pBdr/>
      <w:spacing/>
      <w:ind/>
    </w:pPr>
    <w:rPr>
      <w:rFonts w:cs="Times New Roman"/>
      <w:vertAlign w:val="superscript"/>
    </w:rPr>
  </w:style>
  <w:style w:type="character" w:styleId="932" w:customStyle="1">
    <w:name w:val="Footnote Characters"/>
    <w:uiPriority w:val="99"/>
    <w:qFormat/>
    <w:pPr>
      <w:pBdr/>
      <w:spacing/>
      <w:ind/>
    </w:pPr>
    <w:rPr>
      <w:rFonts w:cs="Times New Roman"/>
      <w:vertAlign w:val="superscript"/>
    </w:rPr>
  </w:style>
  <w:style w:type="character" w:styleId="933">
    <w:name w:val="HTML Cite"/>
    <w:unhideWhenUsed/>
    <w:qFormat/>
    <w:pPr>
      <w:pBdr/>
      <w:spacing/>
      <w:ind/>
    </w:pPr>
    <w:rPr>
      <w:i/>
      <w:iCs/>
    </w:rPr>
  </w:style>
  <w:style w:type="character" w:styleId="934" w:customStyle="1">
    <w:name w:val="Hyperlink1"/>
    <w:basedOn w:val="891"/>
    <w:uiPriority w:val="99"/>
    <w:unhideWhenUsed/>
    <w:qFormat/>
    <w:pPr>
      <w:pBdr/>
      <w:spacing/>
      <w:ind/>
    </w:pPr>
    <w:rPr>
      <w:color w:val="0000ff" w:themeColor="hyperlink"/>
      <w:u w:val="single"/>
    </w:rPr>
  </w:style>
  <w:style w:type="character" w:styleId="935">
    <w:name w:val="page number"/>
    <w:basedOn w:val="891"/>
    <w:qFormat/>
    <w:pPr>
      <w:pBdr/>
      <w:spacing/>
      <w:ind/>
    </w:pPr>
  </w:style>
  <w:style w:type="character" w:styleId="936" w:customStyle="1">
    <w:name w:val="Heading 1 Char"/>
    <w:basedOn w:val="891"/>
    <w:uiPriority w:val="9"/>
    <w:qFormat/>
    <w:pPr>
      <w:pBdr/>
      <w:spacing/>
      <w:ind/>
    </w:pPr>
    <w:rPr>
      <w:rFonts w:ascii="Arial" w:hAnsi="Arial" w:eastAsia="Arial" w:cs="Arial"/>
      <w:color w:val="365f91" w:themeColor="accent1" w:themeShade="BF"/>
      <w:sz w:val="40"/>
      <w:szCs w:val="40"/>
    </w:rPr>
  </w:style>
  <w:style w:type="character" w:styleId="937" w:customStyle="1">
    <w:name w:val="Heading 2 Char"/>
    <w:basedOn w:val="891"/>
    <w:uiPriority w:val="9"/>
    <w:qFormat/>
    <w:pPr>
      <w:pBdr/>
      <w:spacing/>
      <w:ind/>
    </w:pPr>
    <w:rPr>
      <w:rFonts w:ascii="Arial" w:hAnsi="Arial" w:eastAsia="Arial" w:cs="Arial"/>
      <w:color w:val="365f91" w:themeColor="accent1" w:themeShade="BF"/>
      <w:sz w:val="32"/>
      <w:szCs w:val="32"/>
    </w:rPr>
  </w:style>
  <w:style w:type="character" w:styleId="938" w:customStyle="1">
    <w:name w:val="Heading 3 Char"/>
    <w:basedOn w:val="891"/>
    <w:uiPriority w:val="9"/>
    <w:qFormat/>
    <w:pPr>
      <w:pBdr/>
      <w:spacing/>
      <w:ind/>
    </w:pPr>
    <w:rPr>
      <w:rFonts w:ascii="Arial" w:hAnsi="Arial" w:eastAsia="Arial" w:cs="Arial"/>
      <w:color w:val="365f91" w:themeColor="accent1" w:themeShade="BF"/>
      <w:sz w:val="28"/>
      <w:szCs w:val="28"/>
    </w:rPr>
  </w:style>
  <w:style w:type="character" w:styleId="939" w:customStyle="1">
    <w:name w:val="Heading 4 Char"/>
    <w:basedOn w:val="891"/>
    <w:uiPriority w:val="9"/>
    <w:qFormat/>
    <w:pPr>
      <w:pBdr/>
      <w:spacing/>
      <w:ind/>
    </w:pPr>
    <w:rPr>
      <w:rFonts w:ascii="Arial" w:hAnsi="Arial" w:eastAsia="Arial" w:cs="Arial"/>
      <w:i/>
      <w:iCs/>
      <w:color w:val="365f91" w:themeColor="accent1" w:themeShade="BF"/>
    </w:rPr>
  </w:style>
  <w:style w:type="character" w:styleId="940" w:customStyle="1">
    <w:name w:val="Heading 5 Char"/>
    <w:basedOn w:val="891"/>
    <w:uiPriority w:val="9"/>
    <w:qFormat/>
    <w:pPr>
      <w:pBdr/>
      <w:spacing/>
      <w:ind/>
    </w:pPr>
    <w:rPr>
      <w:rFonts w:ascii="Arial" w:hAnsi="Arial" w:eastAsia="Arial" w:cs="Arial"/>
      <w:color w:val="365f91" w:themeColor="accent1" w:themeShade="BF"/>
    </w:rPr>
  </w:style>
  <w:style w:type="character" w:styleId="941" w:customStyle="1">
    <w:name w:val="Título 6 Char"/>
    <w:basedOn w:val="891"/>
    <w:link w:val="887"/>
    <w:uiPriority w:val="9"/>
    <w:qFormat/>
    <w:pPr>
      <w:pBdr/>
      <w:spacing/>
      <w:ind/>
    </w:pPr>
    <w:rPr>
      <w:rFonts w:ascii="Arial" w:hAnsi="Arial" w:eastAsia="Arial" w:cs="Arial"/>
      <w:i/>
      <w:iCs/>
      <w:color w:val="595959" w:themeColor="text1" w:themeTint="A6"/>
    </w:rPr>
  </w:style>
  <w:style w:type="character" w:styleId="942" w:customStyle="1">
    <w:name w:val="Título 7 Char"/>
    <w:basedOn w:val="891"/>
    <w:link w:val="888"/>
    <w:uiPriority w:val="9"/>
    <w:qFormat/>
    <w:pPr>
      <w:pBdr/>
      <w:spacing/>
      <w:ind/>
    </w:pPr>
    <w:rPr>
      <w:rFonts w:ascii="Arial" w:hAnsi="Arial" w:eastAsia="Arial" w:cs="Arial"/>
      <w:color w:val="595959" w:themeColor="text1" w:themeTint="A6"/>
    </w:rPr>
  </w:style>
  <w:style w:type="character" w:styleId="943" w:customStyle="1">
    <w:name w:val="Título 8 Char"/>
    <w:basedOn w:val="891"/>
    <w:link w:val="889"/>
    <w:uiPriority w:val="9"/>
    <w:qFormat/>
    <w:pPr>
      <w:pBdr/>
      <w:spacing/>
      <w:ind/>
    </w:pPr>
    <w:rPr>
      <w:rFonts w:ascii="Arial" w:hAnsi="Arial" w:eastAsia="Arial" w:cs="Arial"/>
      <w:i/>
      <w:iCs/>
      <w:color w:val="262626" w:themeColor="text1" w:themeTint="D9"/>
    </w:rPr>
  </w:style>
  <w:style w:type="character" w:styleId="944" w:customStyle="1">
    <w:name w:val="Título 9 Char"/>
    <w:basedOn w:val="891"/>
    <w:link w:val="890"/>
    <w:uiPriority w:val="9"/>
    <w:qFormat/>
    <w:pPr>
      <w:pBdr/>
      <w:spacing/>
      <w:ind/>
    </w:pPr>
    <w:rPr>
      <w:rFonts w:ascii="Arial" w:hAnsi="Arial" w:eastAsia="Arial" w:cs="Arial"/>
      <w:i/>
      <w:iCs/>
      <w:color w:val="262626" w:themeColor="text1" w:themeTint="D9"/>
    </w:rPr>
  </w:style>
  <w:style w:type="character" w:styleId="945" w:customStyle="1">
    <w:name w:val="Title Char"/>
    <w:basedOn w:val="891"/>
    <w:uiPriority w:val="10"/>
    <w:qFormat/>
    <w:pPr>
      <w:pBdr/>
      <w:spacing/>
      <w:ind/>
    </w:pPr>
    <w:rPr>
      <w:rFonts w:ascii="Arial" w:hAnsi="Arial" w:eastAsia="Arial" w:cs="Arial"/>
      <w:spacing w:val="-10"/>
      <w:sz w:val="56"/>
      <w:szCs w:val="56"/>
    </w:rPr>
  </w:style>
  <w:style w:type="character" w:styleId="946" w:customStyle="1">
    <w:name w:val="Subtítulo Char"/>
    <w:basedOn w:val="891"/>
    <w:link w:val="1057"/>
    <w:uiPriority w:val="11"/>
    <w:qFormat/>
    <w:pPr>
      <w:pBdr/>
      <w:spacing/>
      <w:ind/>
    </w:pPr>
    <w:rPr>
      <w:color w:val="595959" w:themeColor="text1" w:themeTint="A6"/>
      <w:spacing w:val="15"/>
      <w:sz w:val="28"/>
      <w:szCs w:val="28"/>
    </w:rPr>
  </w:style>
  <w:style w:type="character" w:styleId="947" w:customStyle="1">
    <w:name w:val="Quote Char"/>
    <w:basedOn w:val="891"/>
    <w:uiPriority w:val="29"/>
    <w:qFormat/>
    <w:pPr>
      <w:pBdr/>
      <w:spacing/>
      <w:ind/>
    </w:pPr>
    <w:rPr>
      <w:i/>
      <w:iCs/>
      <w:color w:val="404040" w:themeColor="text1" w:themeTint="BF"/>
    </w:rPr>
  </w:style>
  <w:style w:type="character" w:styleId="948" w:customStyle="1">
    <w:name w:val="Ênfase Intensa1"/>
    <w:basedOn w:val="891"/>
    <w:uiPriority w:val="21"/>
    <w:qFormat/>
    <w:pPr>
      <w:pBdr/>
      <w:spacing/>
      <w:ind/>
    </w:pPr>
    <w:rPr>
      <w:i/>
      <w:iCs/>
      <w:color w:val="365f91" w:themeColor="accent1" w:themeShade="BF"/>
    </w:rPr>
  </w:style>
  <w:style w:type="character" w:styleId="949" w:customStyle="1">
    <w:name w:val="Citação Intensa Char"/>
    <w:basedOn w:val="891"/>
    <w:link w:val="1061"/>
    <w:uiPriority w:val="30"/>
    <w:qFormat/>
    <w:pPr>
      <w:pBdr/>
      <w:spacing/>
      <w:ind/>
    </w:pPr>
    <w:rPr>
      <w:i/>
      <w:iCs/>
      <w:color w:val="365f91" w:themeColor="accent1" w:themeShade="BF"/>
    </w:rPr>
  </w:style>
  <w:style w:type="character" w:styleId="950" w:customStyle="1">
    <w:name w:val="Referência Intensa1"/>
    <w:basedOn w:val="891"/>
    <w:uiPriority w:val="32"/>
    <w:qFormat/>
    <w:pPr>
      <w:pBdr/>
      <w:spacing/>
      <w:ind/>
    </w:pPr>
    <w:rPr>
      <w:b/>
      <w:bCs/>
      <w:smallCaps/>
      <w:color w:val="365f91" w:themeColor="accent1" w:themeShade="BF"/>
      <w:spacing w:val="5"/>
    </w:rPr>
  </w:style>
  <w:style w:type="character" w:styleId="951" w:customStyle="1">
    <w:name w:val="Ênfase Sutil1"/>
    <w:basedOn w:val="891"/>
    <w:uiPriority w:val="19"/>
    <w:qFormat/>
    <w:pPr>
      <w:pBdr/>
      <w:spacing/>
      <w:ind/>
    </w:pPr>
    <w:rPr>
      <w:i/>
      <w:iCs/>
      <w:color w:val="404040" w:themeColor="text1" w:themeTint="BF"/>
    </w:rPr>
  </w:style>
  <w:style w:type="character" w:styleId="952" w:customStyle="1">
    <w:name w:val="Referência Sutil1"/>
    <w:basedOn w:val="891"/>
    <w:uiPriority w:val="31"/>
    <w:qFormat/>
    <w:pPr>
      <w:pBdr/>
      <w:spacing/>
      <w:ind/>
    </w:pPr>
    <w:rPr>
      <w:smallCaps/>
      <w:color w:val="595959" w:themeColor="text1" w:themeTint="A6"/>
    </w:rPr>
  </w:style>
  <w:style w:type="character" w:styleId="953" w:customStyle="1">
    <w:name w:val="Título do Livro1"/>
    <w:basedOn w:val="891"/>
    <w:uiPriority w:val="33"/>
    <w:qFormat/>
    <w:pPr>
      <w:pBdr/>
      <w:spacing/>
      <w:ind/>
    </w:pPr>
    <w:rPr>
      <w:b/>
      <w:bCs/>
      <w:i/>
      <w:iCs/>
      <w:spacing w:val="5"/>
    </w:rPr>
  </w:style>
  <w:style w:type="character" w:styleId="954" w:customStyle="1">
    <w:name w:val="Header Char"/>
    <w:basedOn w:val="891"/>
    <w:uiPriority w:val="99"/>
    <w:qFormat/>
    <w:pPr>
      <w:pBdr/>
      <w:spacing/>
      <w:ind/>
    </w:pPr>
  </w:style>
  <w:style w:type="character" w:styleId="955" w:customStyle="1">
    <w:name w:val="Footer Char"/>
    <w:basedOn w:val="891"/>
    <w:uiPriority w:val="99"/>
    <w:qFormat/>
    <w:pPr>
      <w:pBdr/>
      <w:spacing/>
      <w:ind/>
    </w:pPr>
  </w:style>
  <w:style w:type="character" w:styleId="956" w:customStyle="1">
    <w:name w:val="Footnote Text Char"/>
    <w:basedOn w:val="891"/>
    <w:uiPriority w:val="99"/>
    <w:semiHidden/>
    <w:qFormat/>
    <w:pPr>
      <w:pBdr/>
      <w:spacing/>
      <w:ind/>
    </w:pPr>
    <w:rPr>
      <w:sz w:val="20"/>
      <w:szCs w:val="20"/>
    </w:rPr>
  </w:style>
  <w:style w:type="character" w:styleId="957" w:customStyle="1">
    <w:name w:val="Endnote Text Char"/>
    <w:basedOn w:val="891"/>
    <w:uiPriority w:val="99"/>
    <w:semiHidden/>
    <w:qFormat/>
    <w:pPr>
      <w:pBdr/>
      <w:spacing/>
      <w:ind/>
    </w:pPr>
    <w:rPr>
      <w:sz w:val="20"/>
      <w:szCs w:val="20"/>
    </w:rPr>
  </w:style>
  <w:style w:type="character" w:styleId="958" w:customStyle="1">
    <w:name w:val="Título 2 Char"/>
    <w:link w:val="883"/>
    <w:qFormat/>
    <w:pPr>
      <w:pBdr/>
      <w:spacing/>
      <w:ind/>
    </w:pPr>
    <w:rPr>
      <w:rFonts w:ascii="Arial" w:hAnsi="Arial" w:eastAsia="Times New Roman"/>
      <w:b/>
      <w:color w:val="000000"/>
      <w:sz w:val="22"/>
    </w:rPr>
  </w:style>
  <w:style w:type="character" w:styleId="959" w:customStyle="1">
    <w:name w:val="Texto sem Formatação Char"/>
    <w:link w:val="1044"/>
    <w:qFormat/>
    <w:pPr>
      <w:pBdr/>
      <w:spacing/>
      <w:ind/>
    </w:pPr>
    <w:rPr>
      <w:rFonts w:ascii="Courier New" w:hAnsi="Courier New" w:eastAsia="Times New Roman"/>
    </w:rPr>
  </w:style>
  <w:style w:type="character" w:styleId="960" w:customStyle="1">
    <w:name w:val="paginarotulo"/>
    <w:basedOn w:val="891"/>
    <w:qFormat/>
    <w:pPr>
      <w:pBdr/>
      <w:spacing/>
      <w:ind/>
    </w:pPr>
  </w:style>
  <w:style w:type="character" w:styleId="961" w:customStyle="1">
    <w:name w:val="apple-converted-space"/>
    <w:qFormat/>
    <w:pPr>
      <w:pBdr/>
      <w:spacing/>
      <w:ind/>
    </w:pPr>
  </w:style>
  <w:style w:type="character" w:styleId="962" w:customStyle="1">
    <w:name w:val="Cabeçalho Char"/>
    <w:link w:val="1050"/>
    <w:qFormat/>
    <w:pPr>
      <w:pBdr/>
      <w:spacing/>
      <w:ind/>
    </w:pPr>
    <w:rPr>
      <w:rFonts w:eastAsia="Times New Roman"/>
      <w:lang w:val="en-US"/>
    </w:rPr>
  </w:style>
  <w:style w:type="character" w:styleId="963" w:customStyle="1">
    <w:name w:val="Corpo de texto 3 Char"/>
    <w:link w:val="1047"/>
    <w:qFormat/>
    <w:pPr>
      <w:pBdr/>
      <w:spacing/>
      <w:ind/>
    </w:pPr>
    <w:rPr>
      <w:rFonts w:eastAsia="Times New Roman"/>
      <w:sz w:val="16"/>
      <w:szCs w:val="16"/>
      <w:lang w:val="en-US"/>
    </w:rPr>
  </w:style>
  <w:style w:type="character" w:styleId="964" w:customStyle="1">
    <w:name w:val="Parágrafo da Lista Char"/>
    <w:link w:val="1068"/>
    <w:qFormat/>
    <w:pPr>
      <w:pBdr/>
      <w:spacing/>
      <w:ind/>
    </w:pPr>
    <w:rPr>
      <w:rFonts w:ascii="Ecofont_Spranq_eco_Sans" w:hAnsi="Ecofont_Spranq_eco_Sans" w:eastAsia="Times New Roman" w:cs="Tahoma"/>
      <w:sz w:val="24"/>
      <w:szCs w:val="24"/>
    </w:rPr>
  </w:style>
  <w:style w:type="character" w:styleId="965" w:customStyle="1">
    <w:name w:val="Rodapé Char"/>
    <w:link w:val="1052"/>
    <w:qFormat/>
    <w:pPr>
      <w:pBdr/>
      <w:spacing/>
      <w:ind/>
    </w:pPr>
    <w:rPr>
      <w:rFonts w:eastAsia="Times New Roman"/>
      <w:lang w:val="en-US"/>
    </w:rPr>
  </w:style>
  <w:style w:type="character" w:styleId="966" w:customStyle="1">
    <w:name w:val="Texto de nota de rodapé Char"/>
    <w:basedOn w:val="891"/>
    <w:link w:val="1058"/>
    <w:qFormat/>
    <w:pPr>
      <w:pBdr/>
      <w:spacing/>
      <w:ind/>
    </w:pPr>
  </w:style>
  <w:style w:type="character" w:styleId="967" w:customStyle="1">
    <w:name w:val="citação 2 Char"/>
    <w:link w:val="1070"/>
    <w:qFormat/>
    <w:pPr>
      <w:pBdr/>
      <w:spacing/>
      <w:ind/>
    </w:pPr>
    <w:rPr>
      <w:rFonts w:ascii="Arial" w:hAnsi="Arial" w:eastAsia="Calibri" w:cs="Tahoma"/>
      <w:i/>
      <w:iCs/>
      <w:color w:val="000000"/>
      <w:shd w:val="clear" w:color="auto" w:fill="ffffcc"/>
      <w:lang w:eastAsia="en-US"/>
    </w:rPr>
  </w:style>
  <w:style w:type="character" w:styleId="968" w:customStyle="1">
    <w:name w:val="Citação Char"/>
    <w:link w:val="1071"/>
    <w:qFormat/>
    <w:pPr>
      <w:pBdr/>
      <w:spacing/>
      <w:ind/>
    </w:pPr>
    <w:rPr>
      <w:rFonts w:eastAsia="Times New Roman"/>
      <w:i/>
      <w:iCs/>
      <w:color w:val="404040"/>
    </w:rPr>
  </w:style>
  <w:style w:type="character" w:styleId="969" w:customStyle="1">
    <w:name w:val="Texto de comentário Char"/>
    <w:link w:val="1038"/>
    <w:qFormat/>
    <w:pPr>
      <w:pBdr/>
      <w:spacing/>
      <w:ind/>
    </w:pPr>
    <w:rPr>
      <w:rFonts w:ascii="Ecofont_Spranq_eco_Sans" w:hAnsi="Ecofont_Spranq_eco_Sans" w:eastAsia="MS Mincho" w:cs="Tahoma"/>
    </w:rPr>
  </w:style>
  <w:style w:type="character" w:styleId="970" w:customStyle="1">
    <w:name w:val="Nivel 2 Char"/>
    <w:link w:val="1073"/>
    <w:qFormat/>
    <w:pPr>
      <w:pBdr/>
      <w:spacing/>
      <w:ind/>
    </w:pPr>
    <w:rPr>
      <w:rFonts w:ascii="Arial" w:hAnsi="Arial" w:eastAsia="MS Mincho" w:cs="Arial"/>
      <w:color w:val="000000"/>
    </w:rPr>
  </w:style>
  <w:style w:type="character" w:styleId="971" w:customStyle="1">
    <w:name w:val="Nível 2 -Red Char"/>
    <w:link w:val="1077"/>
    <w:qFormat/>
    <w:pPr>
      <w:pBdr/>
      <w:spacing/>
      <w:ind/>
    </w:pPr>
    <w:rPr>
      <w:rFonts w:ascii="Arial" w:hAnsi="Arial" w:eastAsia="MS Mincho" w:cs="Arial"/>
      <w:i/>
      <w:iCs/>
      <w:color w:val="ff0000"/>
    </w:rPr>
  </w:style>
  <w:style w:type="character" w:styleId="972" w:customStyle="1">
    <w:name w:val="Nivel 3 Char"/>
    <w:link w:val="1074"/>
    <w:qFormat/>
    <w:pPr>
      <w:pBdr/>
      <w:spacing/>
      <w:ind/>
    </w:pPr>
    <w:rPr>
      <w:rFonts w:ascii="Arial" w:hAnsi="Arial" w:eastAsia="MS Mincho" w:cs="Arial"/>
      <w:color w:val="000000"/>
    </w:rPr>
  </w:style>
  <w:style w:type="character" w:styleId="973" w:customStyle="1">
    <w:name w:val="Nível 3-R Char"/>
    <w:link w:val="1078"/>
    <w:qFormat/>
    <w:pPr>
      <w:pBdr/>
      <w:spacing/>
      <w:ind/>
    </w:pPr>
    <w:rPr>
      <w:rFonts w:ascii="Arial" w:hAnsi="Arial" w:eastAsia="MS Mincho" w:cs="Arial"/>
      <w:i/>
      <w:iCs/>
      <w:color w:val="ff0000"/>
    </w:rPr>
  </w:style>
  <w:style w:type="character" w:styleId="974" w:customStyle="1">
    <w:name w:val="Assunto do comentário Char"/>
    <w:link w:val="1051"/>
    <w:qFormat/>
    <w:pPr>
      <w:pBdr/>
      <w:spacing/>
      <w:ind/>
    </w:pPr>
    <w:rPr>
      <w:rFonts w:ascii="Ecofont_Spranq_eco_Sans" w:hAnsi="Ecofont_Spranq_eco_Sans" w:eastAsia="Times New Roman" w:cs="Tahoma"/>
      <w:b/>
      <w:bCs/>
    </w:rPr>
  </w:style>
  <w:style w:type="character" w:styleId="975" w:customStyle="1">
    <w:name w:val="Nivel 01 Char"/>
    <w:link w:val="1072"/>
    <w:qFormat/>
    <w:pPr>
      <w:pBdr/>
      <w:spacing/>
      <w:ind/>
    </w:pPr>
    <w:rPr>
      <w:rFonts w:ascii="Ecofont_Spranq_eco_Sans" w:hAnsi="Ecofont_Spranq_eco_Sans" w:eastAsia="MS Gothic"/>
      <w:b/>
      <w:bCs/>
      <w:color w:val="000000"/>
    </w:rPr>
  </w:style>
  <w:style w:type="character" w:styleId="976" w:customStyle="1">
    <w:name w:val="normaltextrun"/>
    <w:qFormat/>
    <w:pPr>
      <w:pBdr/>
      <w:spacing/>
      <w:ind/>
    </w:pPr>
  </w:style>
  <w:style w:type="character" w:styleId="977" w:customStyle="1">
    <w:name w:val="eop"/>
    <w:qFormat/>
    <w:pPr>
      <w:pBdr/>
      <w:spacing/>
      <w:ind/>
    </w:pPr>
  </w:style>
  <w:style w:type="character" w:styleId="978" w:customStyle="1">
    <w:name w:val="Nivel 4 Char"/>
    <w:link w:val="1075"/>
    <w:qFormat/>
    <w:pPr>
      <w:pBdr/>
      <w:spacing/>
      <w:ind/>
    </w:pPr>
    <w:rPr>
      <w:rFonts w:ascii="Arial" w:hAnsi="Arial" w:eastAsia="MS Mincho" w:cs="Arial"/>
    </w:rPr>
  </w:style>
  <w:style w:type="character" w:styleId="979" w:customStyle="1">
    <w:name w:val="Título 1 Char"/>
    <w:link w:val="882"/>
    <w:qFormat/>
    <w:pPr>
      <w:pBdr/>
      <w:spacing/>
      <w:ind/>
    </w:pPr>
    <w:rPr>
      <w:rFonts w:ascii="Arial" w:hAnsi="Arial" w:eastAsia="Times New Roman" w:cs="Arial"/>
      <w:b/>
      <w:bCs/>
      <w:sz w:val="32"/>
      <w:szCs w:val="32"/>
      <w:lang w:val="en-US"/>
    </w:rPr>
  </w:style>
  <w:style w:type="character" w:styleId="980" w:customStyle="1">
    <w:name w:val="Título 3 Char"/>
    <w:link w:val="884"/>
    <w:qFormat/>
    <w:pPr>
      <w:pBdr/>
      <w:spacing/>
      <w:ind/>
    </w:pPr>
    <w:rPr>
      <w:rFonts w:ascii="Arial" w:hAnsi="Arial" w:eastAsia="Times New Roman" w:cs="Arial"/>
      <w:b/>
      <w:bCs/>
      <w:sz w:val="26"/>
      <w:szCs w:val="26"/>
    </w:rPr>
  </w:style>
  <w:style w:type="character" w:styleId="981" w:customStyle="1">
    <w:name w:val="Título 4 Char"/>
    <w:link w:val="885"/>
    <w:uiPriority w:val="9"/>
    <w:qFormat/>
    <w:pPr>
      <w:pBdr/>
      <w:spacing/>
      <w:ind/>
    </w:pPr>
    <w:rPr>
      <w:rFonts w:eastAsia="Times New Roman"/>
      <w:b/>
      <w:bCs/>
      <w:sz w:val="28"/>
      <w:szCs w:val="28"/>
    </w:rPr>
  </w:style>
  <w:style w:type="character" w:styleId="982" w:customStyle="1">
    <w:name w:val="Título 5 Char"/>
    <w:link w:val="886"/>
    <w:qFormat/>
    <w:pPr>
      <w:pBdr/>
      <w:spacing/>
      <w:ind/>
    </w:pPr>
    <w:rPr>
      <w:rFonts w:eastAsia="Times New Roman"/>
      <w:b/>
      <w:bCs/>
      <w:i/>
      <w:iCs/>
      <w:sz w:val="26"/>
      <w:szCs w:val="26"/>
    </w:rPr>
  </w:style>
  <w:style w:type="character" w:styleId="983" w:customStyle="1">
    <w:name w:val="Corpo de texto Char"/>
    <w:link w:val="1030"/>
    <w:qFormat/>
    <w:pPr>
      <w:pBdr/>
      <w:spacing/>
      <w:ind/>
    </w:pPr>
    <w:rPr>
      <w:rFonts w:eastAsia="Times New Roman"/>
    </w:rPr>
  </w:style>
  <w:style w:type="character" w:styleId="984" w:customStyle="1">
    <w:name w:val="Recuo de corpo de texto Char"/>
    <w:link w:val="1060"/>
    <w:qFormat/>
    <w:pPr>
      <w:pBdr/>
      <w:spacing/>
      <w:ind/>
    </w:pPr>
    <w:rPr>
      <w:rFonts w:eastAsia="Times New Roman"/>
      <w:sz w:val="24"/>
      <w:szCs w:val="24"/>
      <w:lang w:val="en-US"/>
    </w:rPr>
  </w:style>
  <w:style w:type="character" w:styleId="985" w:customStyle="1">
    <w:name w:val="Recuo de corpo de texto 3 Char"/>
    <w:link w:val="1054"/>
    <w:qFormat/>
    <w:pPr>
      <w:pBdr/>
      <w:spacing/>
      <w:ind/>
    </w:pPr>
    <w:rPr>
      <w:rFonts w:ascii="Arial" w:hAnsi="Arial"/>
      <w:sz w:val="24"/>
      <w:lang w:val="en-US" w:eastAsia="ar-SA"/>
    </w:rPr>
  </w:style>
  <w:style w:type="character" w:styleId="986" w:customStyle="1">
    <w:name w:val="Recuo de corpo de texto 2 Char"/>
    <w:link w:val="1040"/>
    <w:qFormat/>
    <w:pPr>
      <w:pBdr/>
      <w:spacing/>
      <w:ind/>
    </w:pPr>
    <w:rPr>
      <w:rFonts w:eastAsia="Times New Roman"/>
    </w:rPr>
  </w:style>
  <w:style w:type="character" w:styleId="987" w:customStyle="1">
    <w:name w:val="Texto de balão Char"/>
    <w:link w:val="1056"/>
    <w:qFormat/>
    <w:pPr>
      <w:pBdr/>
      <w:spacing/>
      <w:ind/>
    </w:pPr>
    <w:rPr>
      <w:rFonts w:ascii="Tahoma" w:hAnsi="Tahoma" w:eastAsia="Times New Roman" w:cs="Tahoma"/>
      <w:sz w:val="16"/>
      <w:szCs w:val="16"/>
    </w:rPr>
  </w:style>
  <w:style w:type="character" w:styleId="988" w:customStyle="1">
    <w:name w:val="Corpo de texto 2 Char"/>
    <w:link w:val="1048"/>
    <w:qFormat/>
    <w:pPr>
      <w:pBdr/>
      <w:spacing/>
      <w:ind/>
    </w:pPr>
    <w:rPr>
      <w:rFonts w:eastAsia="Times New Roman"/>
    </w:rPr>
  </w:style>
  <w:style w:type="character" w:styleId="989" w:customStyle="1">
    <w:name w:val="lrzxr"/>
    <w:qFormat/>
    <w:pPr>
      <w:pBdr/>
      <w:spacing/>
      <w:ind/>
    </w:pPr>
  </w:style>
  <w:style w:type="character" w:styleId="990" w:customStyle="1">
    <w:name w:val="theme-text-color-4-3"/>
    <w:qFormat/>
    <w:pPr>
      <w:pBdr/>
      <w:spacing/>
      <w:ind/>
    </w:pPr>
  </w:style>
  <w:style w:type="character" w:styleId="991" w:customStyle="1">
    <w:name w:val="Título Char"/>
    <w:qFormat/>
    <w:pPr>
      <w:pBdr/>
      <w:spacing/>
      <w:ind/>
    </w:pPr>
    <w:rPr>
      <w:rFonts w:ascii="Calibri Light" w:hAnsi="Calibri Light" w:eastAsia="Times New Roman" w:cs="Times New Roman"/>
      <w:b/>
      <w:bCs/>
      <w:sz w:val="32"/>
      <w:szCs w:val="32"/>
    </w:rPr>
  </w:style>
  <w:style w:type="character" w:styleId="992" w:customStyle="1">
    <w:name w:val="Título Char1"/>
    <w:link w:val="1029"/>
    <w:qFormat/>
    <w:pPr>
      <w:pBdr/>
      <w:spacing/>
      <w:ind/>
    </w:pPr>
    <w:rPr>
      <w:rFonts w:ascii="Arial" w:hAnsi="Arial"/>
      <w:b/>
      <w:bCs/>
      <w:sz w:val="22"/>
      <w:szCs w:val="32"/>
    </w:rPr>
  </w:style>
  <w:style w:type="character" w:styleId="993" w:customStyle="1">
    <w:name w:val="Hyperlink2"/>
    <w:qFormat/>
    <w:pPr>
      <w:pBdr/>
      <w:spacing/>
      <w:ind/>
    </w:pPr>
    <w:rPr>
      <w:rFonts w:cs="Times New Roman"/>
      <w:color w:val="0000ff"/>
      <w:u w:val="single"/>
    </w:rPr>
  </w:style>
  <w:style w:type="character" w:styleId="994" w:customStyle="1">
    <w:name w:val="vuuxrf"/>
    <w:qFormat/>
    <w:pPr>
      <w:pBdr/>
      <w:spacing/>
      <w:ind/>
    </w:pPr>
  </w:style>
  <w:style w:type="character" w:styleId="995" w:customStyle="1">
    <w:name w:val="ylgvce"/>
    <w:qFormat/>
    <w:pPr>
      <w:pBdr/>
      <w:spacing/>
      <w:ind/>
    </w:pPr>
  </w:style>
  <w:style w:type="character" w:styleId="996" w:customStyle="1">
    <w:name w:val="Fonte parág. padrão6"/>
    <w:qFormat/>
    <w:pPr>
      <w:pBdr/>
      <w:spacing/>
      <w:ind/>
    </w:pPr>
  </w:style>
  <w:style w:type="character" w:styleId="997" w:customStyle="1">
    <w:name w:val="Texto de nota de fim Char"/>
    <w:basedOn w:val="891"/>
    <w:link w:val="1042"/>
    <w:qFormat/>
    <w:pPr>
      <w:pBdr/>
      <w:spacing/>
      <w:ind/>
    </w:pPr>
  </w:style>
  <w:style w:type="character" w:styleId="998" w:customStyle="1">
    <w:name w:val="st"/>
    <w:qFormat/>
    <w:pPr>
      <w:pBdr/>
      <w:spacing/>
      <w:ind/>
    </w:pPr>
  </w:style>
  <w:style w:type="character" w:styleId="999" w:customStyle="1">
    <w:name w:val="tex3"/>
    <w:qFormat/>
    <w:pPr>
      <w:pBdr/>
      <w:spacing/>
      <w:ind/>
    </w:pPr>
  </w:style>
  <w:style w:type="character" w:styleId="1000" w:customStyle="1">
    <w:name w:val="spellingerror"/>
    <w:qFormat/>
    <w:pPr>
      <w:pBdr/>
      <w:spacing/>
      <w:ind/>
    </w:pPr>
  </w:style>
  <w:style w:type="character" w:styleId="1001" w:customStyle="1">
    <w:name w:val="Fonte parág. padrão1"/>
    <w:qFormat/>
    <w:pPr>
      <w:pBdr/>
      <w:spacing/>
      <w:ind/>
    </w:pPr>
  </w:style>
  <w:style w:type="character" w:styleId="1002" w:customStyle="1">
    <w:name w:val="_xdb"/>
    <w:qFormat/>
    <w:pPr>
      <w:pBdr/>
      <w:spacing/>
      <w:ind/>
    </w:pPr>
  </w:style>
  <w:style w:type="character" w:styleId="1003" w:customStyle="1">
    <w:name w:val="_xbe"/>
    <w:qFormat/>
    <w:pPr>
      <w:pBdr/>
      <w:spacing/>
      <w:ind/>
    </w:pPr>
  </w:style>
  <w:style w:type="character" w:styleId="1004" w:customStyle="1">
    <w:name w:val="_Style 163"/>
    <w:uiPriority w:val="21"/>
    <w:qFormat/>
    <w:pPr>
      <w:pBdr/>
      <w:spacing/>
      <w:ind/>
    </w:pPr>
    <w:rPr>
      <w:rFonts w:cs="Times New Roman"/>
      <w:b/>
      <w:bCs/>
      <w:i/>
      <w:iCs/>
      <w:color w:val="5b9bd5"/>
    </w:rPr>
  </w:style>
  <w:style w:type="character" w:styleId="1005" w:customStyle="1">
    <w:name w:val="hgkelc"/>
    <w:qFormat/>
    <w:pPr>
      <w:pBdr/>
      <w:spacing/>
      <w:ind/>
    </w:pPr>
  </w:style>
  <w:style w:type="character" w:styleId="1006" w:customStyle="1">
    <w:name w:val="textrun"/>
    <w:qFormat/>
    <w:pPr>
      <w:pBdr/>
      <w:spacing/>
      <w:ind/>
    </w:pPr>
  </w:style>
  <w:style w:type="character" w:styleId="1007" w:customStyle="1">
    <w:name w:val="Hyperlink1"/>
    <w:basedOn w:val="891"/>
    <w:uiPriority w:val="99"/>
    <w:unhideWhenUsed/>
    <w:qFormat/>
    <w:pPr>
      <w:pBdr/>
      <w:spacing/>
      <w:ind/>
    </w:pPr>
    <w:rPr>
      <w:color w:val="0000ff" w:themeColor="hyperlink"/>
      <w:u w:val="single"/>
    </w:rPr>
  </w:style>
  <w:style w:type="character" w:styleId="1008" w:customStyle="1">
    <w:name w:val="WW8Num2z0"/>
    <w:qFormat/>
    <w:pPr>
      <w:pBdr/>
      <w:spacing/>
      <w:ind/>
    </w:pPr>
    <w:rPr>
      <w:rFonts w:ascii="Calibri" w:hAnsi="Calibri" w:cs="Calibri"/>
      <w:color w:val="000000"/>
      <w:sz w:val="24"/>
      <w:szCs w:val="24"/>
    </w:rPr>
  </w:style>
  <w:style w:type="character" w:styleId="1009" w:customStyle="1">
    <w:name w:val="WW8Num2z1"/>
    <w:qFormat/>
    <w:pPr>
      <w:pBdr/>
      <w:spacing/>
      <w:ind/>
    </w:pPr>
  </w:style>
  <w:style w:type="character" w:styleId="1010" w:customStyle="1">
    <w:name w:val="WW8Num2z2"/>
    <w:qFormat/>
    <w:pPr>
      <w:pBdr/>
      <w:spacing/>
      <w:ind/>
    </w:pPr>
  </w:style>
  <w:style w:type="character" w:styleId="1011" w:customStyle="1">
    <w:name w:val="WW8Num2z3"/>
    <w:qFormat/>
    <w:pPr>
      <w:pBdr/>
      <w:spacing/>
      <w:ind/>
    </w:pPr>
  </w:style>
  <w:style w:type="character" w:styleId="1012" w:customStyle="1">
    <w:name w:val="WW8Num2z4"/>
    <w:qFormat/>
    <w:pPr>
      <w:pBdr/>
      <w:spacing/>
      <w:ind/>
    </w:pPr>
  </w:style>
  <w:style w:type="character" w:styleId="1013" w:customStyle="1">
    <w:name w:val="WW8Num2z5"/>
    <w:qFormat/>
    <w:pPr>
      <w:pBdr/>
      <w:spacing/>
      <w:ind/>
    </w:pPr>
  </w:style>
  <w:style w:type="character" w:styleId="1014" w:customStyle="1">
    <w:name w:val="WW8Num2z6"/>
    <w:qFormat/>
    <w:pPr>
      <w:pBdr/>
      <w:spacing/>
      <w:ind/>
    </w:pPr>
  </w:style>
  <w:style w:type="character" w:styleId="1015" w:customStyle="1">
    <w:name w:val="WW8Num2z7"/>
    <w:qFormat/>
    <w:pPr>
      <w:pBdr/>
      <w:spacing/>
      <w:ind/>
    </w:pPr>
  </w:style>
  <w:style w:type="character" w:styleId="1016" w:customStyle="1">
    <w:name w:val="WW8Num2z8"/>
    <w:qFormat/>
    <w:pPr>
      <w:pBdr/>
      <w:spacing/>
      <w:ind/>
    </w:pPr>
  </w:style>
  <w:style w:type="character" w:styleId="1017" w:customStyle="1">
    <w:name w:val="Fonte parág. padrão7"/>
    <w:qFormat/>
    <w:pPr>
      <w:pBdr/>
      <w:spacing/>
      <w:ind/>
    </w:pPr>
  </w:style>
  <w:style w:type="character" w:styleId="1018" w:customStyle="1">
    <w:name w:val="Símbolos de numeração"/>
    <w:qFormat/>
    <w:pPr>
      <w:pBdr/>
      <w:spacing/>
      <w:ind/>
    </w:pPr>
    <w:rPr>
      <w:rFonts w:ascii="Century Gothic" w:hAnsi="Century Gothic"/>
      <w:b/>
      <w:bCs/>
      <w:sz w:val="18"/>
      <w:szCs w:val="18"/>
    </w:rPr>
  </w:style>
  <w:style w:type="character" w:styleId="1019" w:customStyle="1">
    <w:name w:val="Marcadores"/>
    <w:qFormat/>
    <w:pPr>
      <w:pBdr/>
      <w:spacing/>
      <w:ind/>
    </w:pPr>
    <w:rPr>
      <w:rFonts w:ascii="OpenSymbol" w:hAnsi="OpenSymbol" w:eastAsia="OpenSymbol" w:cs="OpenSymbol"/>
    </w:rPr>
  </w:style>
  <w:style w:type="character" w:styleId="1020" w:customStyle="1">
    <w:name w:val="relative"/>
    <w:basedOn w:val="891"/>
    <w:qFormat/>
    <w:pPr>
      <w:pBdr/>
      <w:spacing/>
      <w:ind/>
    </w:pPr>
  </w:style>
  <w:style w:type="character" w:styleId="1021" w:customStyle="1">
    <w:name w:val="Assinatura Char"/>
    <w:basedOn w:val="891"/>
    <w:link w:val="1152"/>
    <w:qFormat/>
    <w:pPr>
      <w:pBdr/>
      <w:spacing/>
      <w:ind/>
    </w:pPr>
    <w:rPr>
      <w:rFonts w:ascii="Arial" w:hAnsi="Arial" w:eastAsia="Arial" w:cs="Arial"/>
      <w:sz w:val="22"/>
      <w:szCs w:val="22"/>
    </w:rPr>
  </w:style>
  <w:style w:type="character" w:styleId="1022" w:customStyle="1">
    <w:name w:val="Citação Char1"/>
    <w:basedOn w:val="891"/>
    <w:uiPriority w:val="29"/>
    <w:qFormat/>
    <w:pPr>
      <w:pBdr/>
      <w:spacing/>
      <w:ind/>
    </w:pPr>
    <w:rPr>
      <w:i/>
      <w:iCs/>
      <w:color w:val="404040" w:themeColor="text1" w:themeTint="BF"/>
      <w:sz w:val="22"/>
      <w:szCs w:val="22"/>
      <w:lang w:eastAsia="en-US"/>
    </w:rPr>
  </w:style>
  <w:style w:type="character" w:styleId="1023" w:customStyle="1">
    <w:name w:val="Citação Intensa Char1"/>
    <w:basedOn w:val="891"/>
    <w:uiPriority w:val="30"/>
    <w:qFormat/>
    <w:pPr>
      <w:pBdr/>
      <w:spacing/>
      <w:ind/>
    </w:pPr>
    <w:rPr>
      <w:i/>
      <w:iCs/>
      <w:color w:val="4f81bd" w:themeColor="accent1"/>
      <w:sz w:val="22"/>
      <w:szCs w:val="22"/>
      <w:lang w:eastAsia="en-US"/>
    </w:rPr>
  </w:style>
  <w:style w:type="character" w:styleId="1024" w:customStyle="1">
    <w:name w:val="Menção Pendente1"/>
    <w:basedOn w:val="891"/>
    <w:uiPriority w:val="99"/>
    <w:semiHidden/>
    <w:unhideWhenUsed/>
    <w:qFormat/>
    <w:pPr>
      <w:pBdr/>
      <w:spacing/>
      <w:ind/>
    </w:pPr>
    <w:rPr>
      <w:color w:val="605e5c"/>
      <w:shd w:val="clear" w:color="auto" w:fill="e1dfdd"/>
    </w:rPr>
  </w:style>
  <w:style w:type="character" w:styleId="1025">
    <w:name w:val="Placeholder Text"/>
    <w:basedOn w:val="891"/>
    <w:uiPriority w:val="99"/>
    <w:semiHidden/>
    <w:qFormat/>
    <w:pPr>
      <w:pBdr/>
      <w:spacing/>
      <w:ind/>
    </w:pPr>
    <w:rPr>
      <w:color w:val="666666"/>
    </w:rPr>
  </w:style>
  <w:style w:type="character" w:styleId="1026" w:customStyle="1">
    <w:name w:val="WW8Num30z1"/>
    <w:qFormat/>
    <w:pPr>
      <w:pBdr/>
      <w:spacing/>
      <w:ind/>
    </w:pPr>
    <w:rPr>
      <w:rFonts w:ascii="Courier New" w:hAnsi="Courier New" w:cs="Courier New"/>
    </w:rPr>
  </w:style>
  <w:style w:type="character" w:styleId="1027" w:customStyle="1">
    <w:name w:val="Nível 02 Char"/>
    <w:basedOn w:val="891"/>
    <w:link w:val="1159"/>
    <w:qFormat/>
    <w:pPr>
      <w:pBdr/>
      <w:spacing/>
      <w:ind/>
    </w:pPr>
    <w:rPr>
      <w:rFonts w:ascii="Arial" w:hAnsi="Arial" w:eastAsia="Arial" w:cs="Arial"/>
      <w:iCs/>
      <w:lang w:eastAsia="pt-BR"/>
    </w:rPr>
  </w:style>
  <w:style w:type="character" w:styleId="1028" w:customStyle="1">
    <w:name w:val="Vínculo de índice"/>
    <w:qFormat/>
    <w:pPr>
      <w:pBdr/>
      <w:spacing/>
      <w:ind/>
    </w:pPr>
  </w:style>
  <w:style w:type="paragraph" w:styleId="1029">
    <w:name w:val="Title"/>
    <w:basedOn w:val="881"/>
    <w:next w:val="1030"/>
    <w:link w:val="992"/>
    <w:uiPriority w:val="10"/>
    <w:qFormat/>
    <w:pPr>
      <w:pBdr/>
      <w:spacing w:after="60" w:before="240"/>
      <w:ind/>
      <w:jc w:val="both"/>
      <w:outlineLvl w:val="0"/>
    </w:pPr>
    <w:rPr>
      <w:rFonts w:ascii="Arial" w:hAnsi="Arial" w:eastAsia="SimSun"/>
      <w:b/>
      <w:bCs/>
      <w:sz w:val="22"/>
      <w:szCs w:val="32"/>
    </w:rPr>
  </w:style>
  <w:style w:type="paragraph" w:styleId="1030">
    <w:name w:val="Body Text"/>
    <w:basedOn w:val="881"/>
    <w:link w:val="983"/>
    <w:qFormat/>
    <w:pPr>
      <w:pBdr/>
      <w:spacing w:after="120"/>
      <w:ind/>
    </w:pPr>
  </w:style>
  <w:style w:type="paragraph" w:styleId="1031">
    <w:name w:val="List"/>
    <w:basedOn w:val="1030"/>
    <w:qFormat/>
    <w:pPr>
      <w:pBdr/>
      <w:spacing w:after="140" w:line="276" w:lineRule="auto"/>
      <w:ind/>
    </w:pPr>
    <w:rPr>
      <w:rFonts w:cs="Arial"/>
    </w:rPr>
  </w:style>
  <w:style w:type="paragraph" w:styleId="1032">
    <w:name w:val="Caption"/>
    <w:basedOn w:val="881"/>
    <w:qFormat/>
    <w:pPr>
      <w:suppressLineNumbers w:val="true"/>
      <w:pBdr/>
      <w:spacing w:after="120" w:before="120"/>
      <w:ind/>
    </w:pPr>
    <w:rPr>
      <w:rFonts w:cs="Arial"/>
      <w:i/>
      <w:iCs/>
      <w:sz w:val="24"/>
      <w:szCs w:val="24"/>
    </w:rPr>
  </w:style>
  <w:style w:type="paragraph" w:styleId="1033" w:customStyle="1">
    <w:name w:val="Índice"/>
    <w:basedOn w:val="881"/>
    <w:qFormat/>
    <w:pPr>
      <w:suppressLineNumbers w:val="true"/>
      <w:pBdr/>
      <w:spacing/>
      <w:ind/>
    </w:pPr>
    <w:rPr>
      <w:rFonts w:cs="Arial"/>
    </w:rPr>
  </w:style>
  <w:style w:type="paragraph" w:styleId="1034" w:customStyle="1">
    <w:name w:val="caption1"/>
    <w:basedOn w:val="881"/>
    <w:next w:val="881"/>
    <w:unhideWhenUsed/>
    <w:qFormat/>
    <w:pPr>
      <w:pBdr/>
      <w:spacing w:after="200"/>
      <w:ind/>
    </w:pPr>
    <w:rPr>
      <w:i/>
      <w:iCs/>
      <w:color w:val="1f497d" w:themeColor="text2"/>
      <w:sz w:val="18"/>
      <w:szCs w:val="18"/>
    </w:rPr>
  </w:style>
  <w:style w:type="paragraph" w:styleId="1035">
    <w:name w:val="toc 2"/>
    <w:basedOn w:val="881"/>
    <w:next w:val="881"/>
    <w:pPr>
      <w:pBdr/>
      <w:spacing/>
      <w:ind w:left="200"/>
    </w:pPr>
  </w:style>
  <w:style w:type="paragraph" w:styleId="1036">
    <w:name w:val="toc 9"/>
    <w:basedOn w:val="881"/>
    <w:next w:val="881"/>
    <w:uiPriority w:val="39"/>
    <w:unhideWhenUsed/>
    <w:pPr>
      <w:pBdr/>
      <w:spacing w:after="100"/>
      <w:ind w:left="1760"/>
    </w:pPr>
  </w:style>
  <w:style w:type="paragraph" w:styleId="1037">
    <w:name w:val="toc 6"/>
    <w:basedOn w:val="881"/>
    <w:next w:val="881"/>
    <w:uiPriority w:val="39"/>
    <w:unhideWhenUsed/>
    <w:pPr>
      <w:pBdr/>
      <w:spacing w:after="100"/>
      <w:ind w:left="1100"/>
    </w:pPr>
  </w:style>
  <w:style w:type="paragraph" w:styleId="1038">
    <w:name w:val="annotation text"/>
    <w:basedOn w:val="881"/>
    <w:link w:val="969"/>
    <w:uiPriority w:val="99"/>
    <w:unhideWhenUsed/>
    <w:qFormat/>
    <w:pPr>
      <w:pBdr/>
      <w:spacing/>
      <w:ind/>
    </w:pPr>
    <w:rPr>
      <w:rFonts w:ascii="Ecofont_Spranq_eco_Sans" w:hAnsi="Ecofont_Spranq_eco_Sans" w:eastAsia="MS Mincho" w:cs="Tahoma"/>
    </w:rPr>
  </w:style>
  <w:style w:type="paragraph" w:styleId="1039">
    <w:name w:val="toc 5"/>
    <w:basedOn w:val="881"/>
    <w:next w:val="881"/>
    <w:uiPriority w:val="39"/>
    <w:unhideWhenUsed/>
    <w:pPr>
      <w:pBdr/>
      <w:spacing w:after="100"/>
      <w:ind w:left="880"/>
    </w:pPr>
  </w:style>
  <w:style w:type="paragraph" w:styleId="1040">
    <w:name w:val="Body Text Indent 2"/>
    <w:basedOn w:val="881"/>
    <w:link w:val="986"/>
    <w:uiPriority w:val="99"/>
    <w:qFormat/>
    <w:pPr>
      <w:pBdr/>
      <w:spacing w:after="120" w:line="480" w:lineRule="auto"/>
      <w:ind w:left="283"/>
    </w:pPr>
  </w:style>
  <w:style w:type="paragraph" w:styleId="1041">
    <w:name w:val="table of figures"/>
    <w:basedOn w:val="881"/>
    <w:next w:val="881"/>
    <w:uiPriority w:val="99"/>
    <w:unhideWhenUsed/>
    <w:qFormat/>
    <w:pPr>
      <w:pBdr/>
      <w:spacing/>
      <w:ind/>
    </w:pPr>
  </w:style>
  <w:style w:type="paragraph" w:styleId="1042">
    <w:name w:val="endnote text"/>
    <w:basedOn w:val="881"/>
    <w:link w:val="997"/>
    <w:unhideWhenUsed/>
    <w:qFormat/>
    <w:pPr>
      <w:pBdr/>
      <w:spacing/>
      <w:ind/>
    </w:pPr>
    <w:rPr>
      <w:rFonts w:eastAsia="SimSun"/>
    </w:rPr>
  </w:style>
  <w:style w:type="paragraph" w:styleId="1043">
    <w:name w:val="Normal (Web)"/>
    <w:basedOn w:val="881"/>
    <w:uiPriority w:val="99"/>
    <w:unhideWhenUsed/>
    <w:qFormat/>
    <w:pPr>
      <w:pBdr/>
      <w:spacing w:afterAutospacing="1" w:beforeAutospacing="1"/>
      <w:ind/>
    </w:pPr>
    <w:rPr>
      <w:sz w:val="24"/>
      <w:szCs w:val="24"/>
    </w:rPr>
  </w:style>
  <w:style w:type="paragraph" w:styleId="1044">
    <w:name w:val="Plain Text"/>
    <w:basedOn w:val="881"/>
    <w:link w:val="959"/>
    <w:uiPriority w:val="99"/>
    <w:qFormat/>
    <w:pPr>
      <w:pBdr/>
      <w:spacing/>
      <w:ind/>
    </w:pPr>
    <w:rPr>
      <w:rFonts w:ascii="Courier New" w:hAnsi="Courier New"/>
    </w:rPr>
  </w:style>
  <w:style w:type="paragraph" w:styleId="1045">
    <w:name w:val="toc 4"/>
    <w:basedOn w:val="881"/>
    <w:next w:val="881"/>
    <w:uiPriority w:val="39"/>
    <w:unhideWhenUsed/>
    <w:pPr>
      <w:pBdr/>
      <w:spacing w:after="100"/>
      <w:ind w:left="660"/>
    </w:pPr>
  </w:style>
  <w:style w:type="paragraph" w:styleId="1046">
    <w:name w:val="toc 8"/>
    <w:basedOn w:val="881"/>
    <w:next w:val="881"/>
    <w:uiPriority w:val="39"/>
    <w:unhideWhenUsed/>
    <w:pPr>
      <w:pBdr/>
      <w:spacing w:after="100"/>
      <w:ind w:left="1540"/>
    </w:pPr>
  </w:style>
  <w:style w:type="paragraph" w:styleId="1047">
    <w:name w:val="Body Text 3"/>
    <w:basedOn w:val="881"/>
    <w:link w:val="963"/>
    <w:uiPriority w:val="99"/>
    <w:qFormat/>
    <w:pPr>
      <w:widowControl w:val="false"/>
      <w:pBdr/>
      <w:spacing w:after="120"/>
      <w:ind/>
    </w:pPr>
    <w:rPr>
      <w:sz w:val="16"/>
      <w:szCs w:val="16"/>
      <w:lang w:val="en-US"/>
    </w:rPr>
  </w:style>
  <w:style w:type="paragraph" w:styleId="1048">
    <w:name w:val="Body Text 2"/>
    <w:basedOn w:val="881"/>
    <w:link w:val="988"/>
    <w:uiPriority w:val="99"/>
    <w:qFormat/>
    <w:pPr>
      <w:pBdr/>
      <w:spacing w:after="120" w:line="480" w:lineRule="auto"/>
      <w:ind/>
    </w:pPr>
  </w:style>
  <w:style w:type="paragraph" w:styleId="1049" w:customStyle="1">
    <w:name w:val="Cabeçalho e Rodapé"/>
    <w:basedOn w:val="881"/>
    <w:qFormat/>
    <w:pPr>
      <w:pBdr/>
      <w:spacing/>
      <w:ind/>
    </w:pPr>
  </w:style>
  <w:style w:type="paragraph" w:styleId="1050">
    <w:name w:val="Header"/>
    <w:basedOn w:val="881"/>
    <w:link w:val="962"/>
    <w:qFormat/>
    <w:pPr>
      <w:widowControl w:val="false"/>
      <w:pBdr/>
      <w:tabs>
        <w:tab w:val="center" w:leader="none" w:pos="4419"/>
        <w:tab w:val="right" w:leader="none" w:pos="8838"/>
      </w:tabs>
      <w:spacing/>
      <w:ind/>
    </w:pPr>
    <w:rPr>
      <w:lang w:val="en-US"/>
    </w:rPr>
  </w:style>
  <w:style w:type="paragraph" w:styleId="1051">
    <w:name w:val="annotation subject"/>
    <w:basedOn w:val="1038"/>
    <w:next w:val="1038"/>
    <w:link w:val="974"/>
    <w:qFormat/>
    <w:pPr>
      <w:pBdr/>
      <w:spacing/>
      <w:ind/>
    </w:pPr>
    <w:rPr>
      <w:rFonts w:ascii="Times New Roman" w:hAnsi="Times New Roman" w:eastAsia="Times New Roman" w:cs="Times New Roman"/>
      <w:b/>
      <w:bCs/>
    </w:rPr>
  </w:style>
  <w:style w:type="paragraph" w:styleId="1052">
    <w:name w:val="Footer"/>
    <w:basedOn w:val="881"/>
    <w:link w:val="965"/>
    <w:qFormat/>
    <w:pPr>
      <w:widowControl w:val="false"/>
      <w:pBdr/>
      <w:tabs>
        <w:tab w:val="center" w:leader="none" w:pos="4419"/>
        <w:tab w:val="right" w:leader="none" w:pos="8838"/>
      </w:tabs>
      <w:spacing/>
      <w:ind/>
    </w:pPr>
    <w:rPr>
      <w:lang w:val="en-US"/>
    </w:rPr>
  </w:style>
  <w:style w:type="paragraph" w:styleId="1053">
    <w:name w:val="toc 7"/>
    <w:basedOn w:val="881"/>
    <w:next w:val="881"/>
    <w:uiPriority w:val="39"/>
    <w:unhideWhenUsed/>
    <w:pPr>
      <w:pBdr/>
      <w:spacing w:after="100"/>
      <w:ind w:left="1320"/>
    </w:pPr>
  </w:style>
  <w:style w:type="paragraph" w:styleId="1054">
    <w:name w:val="Body Text Indent 3"/>
    <w:basedOn w:val="881"/>
    <w:link w:val="985"/>
    <w:qFormat/>
    <w:pPr>
      <w:widowControl w:val="false"/>
      <w:pBdr/>
      <w:spacing/>
      <w:ind w:left="1418"/>
      <w:jc w:val="both"/>
    </w:pPr>
    <w:rPr>
      <w:rFonts w:ascii="Arial" w:hAnsi="Arial" w:eastAsia="SimSun"/>
      <w:sz w:val="24"/>
      <w:lang w:val="en-US" w:eastAsia="ar-SA"/>
    </w:rPr>
  </w:style>
  <w:style w:type="paragraph" w:styleId="1055">
    <w:name w:val="toc 3"/>
    <w:basedOn w:val="881"/>
    <w:next w:val="881"/>
    <w:uiPriority w:val="39"/>
    <w:unhideWhenUsed/>
    <w:pPr>
      <w:pBdr/>
      <w:spacing w:after="100"/>
      <w:ind w:left="440"/>
    </w:pPr>
  </w:style>
  <w:style w:type="paragraph" w:styleId="1056">
    <w:name w:val="Balloon Text"/>
    <w:basedOn w:val="881"/>
    <w:link w:val="987"/>
    <w:qFormat/>
    <w:pPr>
      <w:pBdr/>
      <w:spacing/>
      <w:ind/>
    </w:pPr>
    <w:rPr>
      <w:rFonts w:ascii="Tahoma" w:hAnsi="Tahoma" w:cs="Tahoma"/>
      <w:sz w:val="16"/>
      <w:szCs w:val="16"/>
    </w:rPr>
  </w:style>
  <w:style w:type="paragraph" w:styleId="1057">
    <w:name w:val="Subtitle"/>
    <w:basedOn w:val="881"/>
    <w:next w:val="881"/>
    <w:link w:val="946"/>
    <w:uiPriority w:val="11"/>
    <w:qFormat/>
    <w:pPr>
      <w:pBdr/>
      <w:spacing/>
      <w:ind/>
    </w:pPr>
    <w:rPr>
      <w:color w:val="595959"/>
      <w:sz w:val="28"/>
      <w:szCs w:val="28"/>
    </w:rPr>
  </w:style>
  <w:style w:type="paragraph" w:styleId="1058">
    <w:name w:val="footnote text"/>
    <w:basedOn w:val="881"/>
    <w:link w:val="966"/>
    <w:pPr>
      <w:pBdr/>
      <w:spacing/>
      <w:ind/>
    </w:pPr>
    <w:rPr>
      <w:rFonts w:eastAsia="SimSun"/>
    </w:rPr>
  </w:style>
  <w:style w:type="paragraph" w:styleId="1059">
    <w:name w:val="toc 1"/>
    <w:basedOn w:val="881"/>
    <w:next w:val="881"/>
    <w:qFormat/>
    <w:pPr>
      <w:pBdr/>
      <w:tabs>
        <w:tab w:val="right" w:leader="dot" w:pos="9771"/>
      </w:tabs>
      <w:spacing w:after="80"/>
      <w:ind/>
      <w:jc w:val="center"/>
    </w:pPr>
    <w:rPr>
      <w:rFonts w:eastAsia="SimSun"/>
      <w:sz w:val="22"/>
      <w:szCs w:val="22"/>
    </w:rPr>
  </w:style>
  <w:style w:type="paragraph" w:styleId="1060">
    <w:name w:val="Body Text Indent"/>
    <w:basedOn w:val="881"/>
    <w:link w:val="984"/>
    <w:pPr>
      <w:pBdr/>
      <w:spacing w:after="120"/>
      <w:ind w:left="283"/>
    </w:pPr>
    <w:rPr>
      <w:sz w:val="24"/>
      <w:szCs w:val="24"/>
      <w:lang w:val="en-US"/>
    </w:rPr>
  </w:style>
  <w:style w:type="paragraph" w:styleId="1061">
    <w:name w:val="Intense Quote"/>
    <w:basedOn w:val="881"/>
    <w:next w:val="881"/>
    <w:link w:val="949"/>
    <w:uiPriority w:val="30"/>
    <w:qFormat/>
    <w:pPr>
      <w:pBdr>
        <w:top w:val="single" w:color="365f91" w:sz="4" w:space="10"/>
        <w:bottom w:val="single" w:color="365f91" w:sz="4" w:space="10"/>
      </w:pBdr>
      <w:spacing w:after="360" w:before="360"/>
      <w:ind w:right="864" w:left="864"/>
      <w:jc w:val="center"/>
    </w:pPr>
    <w:rPr>
      <w:i/>
      <w:iCs/>
      <w:color w:val="365f91" w:themeColor="accent1" w:themeShade="BF"/>
    </w:rPr>
  </w:style>
  <w:style w:type="paragraph" w:styleId="1062" w:customStyle="1">
    <w:name w:val="Cabeçalho do Sumário1"/>
    <w:uiPriority w:val="39"/>
    <w:unhideWhenUsed/>
    <w:qFormat/>
    <w:pPr>
      <w:pBdr/>
      <w:spacing/>
      <w:ind/>
    </w:pPr>
  </w:style>
  <w:style w:type="paragraph" w:styleId="1063" w:customStyle="1">
    <w:name w:val="Recuo de corpo de texto 21"/>
    <w:basedOn w:val="881"/>
    <w:qFormat/>
    <w:pPr>
      <w:pBdr/>
      <w:spacing/>
      <w:ind w:hanging="567" w:left="993"/>
      <w:jc w:val="both"/>
    </w:pPr>
    <w:rPr>
      <w:rFonts w:ascii="Arial" w:hAnsi="Arial"/>
      <w:sz w:val="24"/>
      <w:lang w:val="en-US" w:eastAsia="ar-SA"/>
    </w:rPr>
  </w:style>
  <w:style w:type="paragraph" w:styleId="1064" w:customStyle="1">
    <w:name w:val="PADRAO"/>
    <w:qFormat/>
    <w:pPr>
      <w:pBdr/>
      <w:spacing/>
      <w:ind/>
      <w:jc w:val="both"/>
    </w:pPr>
    <w:rPr>
      <w:color w:val="000000"/>
      <w:sz w:val="24"/>
      <w:lang w:eastAsia="ar-SA"/>
    </w:rPr>
  </w:style>
  <w:style w:type="paragraph" w:styleId="1065" w:customStyle="1">
    <w:name w:val="Recuo de corpo de texto 31"/>
    <w:basedOn w:val="881"/>
    <w:qFormat/>
    <w:pPr>
      <w:pBdr/>
      <w:spacing/>
      <w:ind w:hanging="567" w:left="567"/>
      <w:jc w:val="both"/>
    </w:pPr>
    <w:rPr>
      <w:rFonts w:ascii="Arial" w:hAnsi="Arial"/>
      <w:sz w:val="24"/>
      <w:lang w:val="en-US" w:eastAsia="ar-SA"/>
    </w:rPr>
  </w:style>
  <w:style w:type="paragraph" w:styleId="1066" w:customStyle="1">
    <w:name w:val="_A010165"/>
    <w:qFormat/>
    <w:pPr>
      <w:pBdr/>
      <w:tabs>
        <w:tab w:val="left" w:leader="none" w:pos="584"/>
        <w:tab w:val="left" w:leader="none" w:pos="6560"/>
        <w:tab w:val="left" w:leader="none" w:pos="7133"/>
      </w:tabs>
      <w:spacing/>
      <w:ind/>
      <w:jc w:val="both"/>
    </w:pPr>
    <w:rPr>
      <w:rFonts w:ascii="Arial" w:hAnsi="Arial"/>
      <w:color w:val="000000"/>
      <w:sz w:val="22"/>
      <w:lang w:eastAsia="ar-SA"/>
    </w:rPr>
  </w:style>
  <w:style w:type="paragraph" w:styleId="1067" w:customStyle="1">
    <w:name w:val="Default"/>
    <w:qFormat/>
    <w:pPr>
      <w:pBdr/>
      <w:spacing/>
      <w:ind/>
    </w:pPr>
    <w:rPr>
      <w:rFonts w:ascii="Arial" w:hAnsi="Arial" w:cs="Arial"/>
      <w:color w:val="000000"/>
      <w:sz w:val="24"/>
      <w:szCs w:val="24"/>
    </w:rPr>
  </w:style>
  <w:style w:type="paragraph" w:styleId="1068">
    <w:name w:val="List Paragraph"/>
    <w:basedOn w:val="881"/>
    <w:link w:val="964"/>
    <w:uiPriority w:val="34"/>
    <w:qFormat/>
    <w:pPr>
      <w:pBdr/>
      <w:spacing/>
      <w:ind w:left="720"/>
      <w:contextualSpacing w:val="true"/>
    </w:pPr>
    <w:rPr>
      <w:rFonts w:ascii="Ecofont_Spranq_eco_Sans" w:hAnsi="Ecofont_Spranq_eco_Sans" w:cs="Tahoma"/>
      <w:sz w:val="24"/>
      <w:szCs w:val="24"/>
    </w:rPr>
  </w:style>
  <w:style w:type="paragraph" w:styleId="1069" w:customStyle="1">
    <w:name w:val="tcu_-_rel/voto_-_demais_§§"/>
    <w:basedOn w:val="881"/>
    <w:qFormat/>
    <w:pPr>
      <w:pBdr/>
      <w:spacing w:afterAutospacing="1" w:beforeAutospacing="1"/>
      <w:ind/>
    </w:pPr>
    <w:rPr>
      <w:rFonts w:eastAsia="SimSun"/>
      <w:sz w:val="24"/>
      <w:szCs w:val="24"/>
    </w:rPr>
  </w:style>
  <w:style w:type="paragraph" w:styleId="1070" w:customStyle="1">
    <w:name w:val="citação 2"/>
    <w:basedOn w:val="1071"/>
    <w:link w:val="967"/>
    <w:qFormat/>
    <w:pPr>
      <w:pBdr>
        <w:top w:val="single" w:color="1f497d" w:sz="4" w:space="1"/>
        <w:left w:val="single" w:color="1f497d" w:sz="4" w:space="4"/>
        <w:bottom w:val="single" w:color="1f497d" w:sz="4" w:space="1"/>
        <w:right w:val="single" w:color="1f497d" w:sz="4" w:space="4"/>
      </w:pBdr>
      <w:shd w:val="clear" w:color="auto" w:fill="ffffcc"/>
      <w:spacing w:after="0" w:before="120"/>
      <w:ind w:right="0" w:left="0"/>
      <w:jc w:val="both"/>
    </w:pPr>
    <w:rPr>
      <w:rFonts w:ascii="Arial" w:hAnsi="Arial" w:eastAsia="Calibri" w:cs="Tahoma"/>
      <w:color w:val="000000"/>
    </w:rPr>
  </w:style>
  <w:style w:type="paragraph" w:styleId="1071">
    <w:name w:val="Quote"/>
    <w:basedOn w:val="881"/>
    <w:next w:val="881"/>
    <w:link w:val="968"/>
    <w:qFormat/>
    <w:pPr>
      <w:pBdr/>
      <w:spacing w:after="160" w:before="200"/>
      <w:ind w:right="864" w:left="864"/>
      <w:jc w:val="center"/>
    </w:pPr>
    <w:rPr>
      <w:i/>
      <w:iCs/>
      <w:color w:val="404040"/>
    </w:rPr>
  </w:style>
  <w:style w:type="paragraph" w:styleId="1072" w:customStyle="1">
    <w:name w:val="Nivel 01"/>
    <w:basedOn w:val="882"/>
    <w:next w:val="881"/>
    <w:link w:val="975"/>
    <w:qFormat/>
    <w:pPr>
      <w:keepLines w:val="true"/>
      <w:numPr>
        <w:numId w:val="1"/>
      </w:numPr>
      <w:pBdr/>
      <w:tabs>
        <w:tab w:val="left" w:leader="none" w:pos="567"/>
      </w:tabs>
      <w:spacing w:after="0"/>
      <w:ind w:left="720"/>
      <w:jc w:val="both"/>
    </w:pPr>
    <w:rPr>
      <w:rFonts w:ascii="Ecofont_Spranq_eco_Sans" w:hAnsi="Ecofont_Spranq_eco_Sans" w:eastAsia="MS Gothic" w:cs="Times New Roman"/>
      <w:color w:val="000000"/>
      <w:sz w:val="20"/>
      <w:szCs w:val="20"/>
      <w:lang w:val="pt-BR"/>
    </w:rPr>
  </w:style>
  <w:style w:type="paragraph" w:styleId="1073" w:customStyle="1">
    <w:name w:val="Nivel 2"/>
    <w:basedOn w:val="881"/>
    <w:link w:val="970"/>
    <w:qFormat/>
    <w:pPr>
      <w:pBdr/>
      <w:spacing w:after="120" w:before="120" w:line="276" w:lineRule="auto"/>
      <w:ind/>
      <w:jc w:val="both"/>
    </w:pPr>
    <w:rPr>
      <w:rFonts w:ascii="Arial" w:hAnsi="Arial" w:eastAsia="MS Mincho" w:cs="Arial"/>
      <w:color w:val="000000"/>
    </w:rPr>
  </w:style>
  <w:style w:type="paragraph" w:styleId="1074" w:customStyle="1">
    <w:name w:val="Nivel 3"/>
    <w:basedOn w:val="881"/>
    <w:link w:val="972"/>
    <w:qFormat/>
    <w:pPr>
      <w:pBdr/>
      <w:spacing w:after="120" w:before="120" w:line="276" w:lineRule="auto"/>
      <w:ind w:left="284"/>
      <w:jc w:val="both"/>
    </w:pPr>
    <w:rPr>
      <w:rFonts w:ascii="Arial" w:hAnsi="Arial" w:eastAsia="MS Mincho" w:cs="Arial"/>
      <w:color w:val="000000"/>
    </w:rPr>
  </w:style>
  <w:style w:type="paragraph" w:styleId="1075" w:customStyle="1">
    <w:name w:val="Nivel 4"/>
    <w:basedOn w:val="1074"/>
    <w:link w:val="978"/>
    <w:qFormat/>
    <w:pPr>
      <w:pBdr/>
      <w:spacing/>
      <w:ind w:left="567"/>
    </w:pPr>
    <w:rPr>
      <w:color w:val="auto"/>
    </w:rPr>
  </w:style>
  <w:style w:type="paragraph" w:styleId="1076" w:customStyle="1">
    <w:name w:val="Nivel 5"/>
    <w:basedOn w:val="1075"/>
    <w:qFormat/>
    <w:pPr>
      <w:pBdr/>
      <w:spacing/>
      <w:ind w:left="851"/>
    </w:pPr>
  </w:style>
  <w:style w:type="paragraph" w:styleId="1077" w:customStyle="1">
    <w:name w:val="Nível 2 -Red"/>
    <w:basedOn w:val="1073"/>
    <w:link w:val="971"/>
    <w:qFormat/>
    <w:pPr>
      <w:pBdr/>
      <w:spacing/>
      <w:ind/>
    </w:pPr>
    <w:rPr>
      <w:i/>
      <w:iCs/>
      <w:color w:val="ff0000"/>
    </w:rPr>
  </w:style>
  <w:style w:type="paragraph" w:styleId="1078" w:customStyle="1">
    <w:name w:val="Nível 3-R"/>
    <w:basedOn w:val="1074"/>
    <w:link w:val="973"/>
    <w:qFormat/>
    <w:pPr>
      <w:pBdr/>
      <w:spacing/>
      <w:ind/>
    </w:pPr>
    <w:rPr>
      <w:i/>
      <w:iCs/>
      <w:color w:val="ff0000"/>
    </w:rPr>
  </w:style>
  <w:style w:type="paragraph" w:styleId="1079" w:customStyle="1">
    <w:name w:val="_Style 74"/>
    <w:basedOn w:val="882"/>
    <w:next w:val="881"/>
    <w:uiPriority w:val="39"/>
    <w:unhideWhenUsed/>
    <w:qFormat/>
    <w:pPr>
      <w:keepLines w:val="true"/>
      <w:pBdr/>
      <w:spacing w:after="0" w:line="259" w:lineRule="auto"/>
      <w:ind/>
      <w:outlineLvl w:val="9"/>
    </w:pPr>
    <w:rPr>
      <w:rFonts w:ascii="Calibri" w:hAnsi="Calibri" w:eastAsia="MS Gothic" w:cs="Times New Roman"/>
      <w:b w:val="0"/>
      <w:bCs w:val="0"/>
      <w:color w:val="365f91"/>
      <w:lang w:val="pt-BR"/>
    </w:rPr>
  </w:style>
  <w:style w:type="paragraph" w:styleId="1080" w:customStyle="1">
    <w:name w:val="Standard"/>
    <w:qFormat/>
    <w:pPr>
      <w:pBdr/>
      <w:spacing/>
      <w:ind/>
    </w:pPr>
    <w:rPr>
      <w:rFonts w:ascii="Liberation Serif" w:hAnsi="Liberation Serif" w:cs="Liberation Serif"/>
      <w:sz w:val="24"/>
      <w:szCs w:val="24"/>
      <w:lang w:eastAsia="hi-IN" w:bidi="hi-IN"/>
    </w:rPr>
  </w:style>
  <w:style w:type="paragraph" w:styleId="1081" w:customStyle="1">
    <w:name w:val="Conteúdo da tabela"/>
    <w:basedOn w:val="881"/>
    <w:qFormat/>
    <w:pPr>
      <w:suppressLineNumbers w:val="true"/>
      <w:pBdr/>
      <w:spacing/>
      <w:ind/>
    </w:pPr>
  </w:style>
  <w:style w:type="paragraph" w:styleId="1082" w:customStyle="1">
    <w:name w:val="Table Paragraph"/>
    <w:basedOn w:val="1080"/>
    <w:qFormat/>
    <w:pPr>
      <w:pBdr/>
      <w:spacing/>
      <w:ind/>
    </w:pPr>
    <w:rPr>
      <w:rFonts w:ascii="Times New Roman" w:hAnsi="Times New Roman" w:eastAsia="SimSun" w:cs="Times New Roman"/>
      <w:lang w:val="pt-PT" w:eastAsia="ar-SA" w:bidi="ar-SA"/>
    </w:rPr>
  </w:style>
  <w:style w:type="paragraph" w:styleId="1083" w:customStyle="1">
    <w:name w:val="western"/>
    <w:basedOn w:val="881"/>
    <w:qFormat/>
    <w:pPr>
      <w:pBdr/>
      <w:spacing w:afterAutospacing="1" w:beforeAutospacing="1"/>
      <w:ind/>
    </w:pPr>
    <w:rPr>
      <w:sz w:val="24"/>
      <w:szCs w:val="24"/>
      <w:lang w:eastAsia="ja-JP"/>
    </w:rPr>
  </w:style>
  <w:style w:type="paragraph" w:styleId="1084">
    <w:name w:val="No Spacing"/>
    <w:link w:val="1294"/>
    <w:uiPriority w:val="1"/>
    <w:qFormat/>
    <w:pPr>
      <w:pBdr/>
      <w:spacing/>
      <w:ind/>
    </w:pPr>
    <w:rPr>
      <w:rFonts w:ascii="Calibri" w:hAnsi="Calibri"/>
      <w:sz w:val="22"/>
      <w:szCs w:val="22"/>
    </w:rPr>
  </w:style>
  <w:style w:type="paragraph" w:styleId="1085" w:customStyle="1">
    <w:name w:val="Sumário 11"/>
    <w:basedOn w:val="881"/>
    <w:next w:val="881"/>
    <w:qFormat/>
    <w:pPr>
      <w:widowControl w:val="false"/>
      <w:pBdr/>
      <w:spacing w:after="100" w:line="100" w:lineRule="atLeast"/>
      <w:ind/>
    </w:pPr>
    <w:rPr>
      <w:rFonts w:cs="Arial"/>
      <w:sz w:val="24"/>
      <w:szCs w:val="24"/>
      <w:lang w:eastAsia="ar-SA"/>
    </w:rPr>
  </w:style>
  <w:style w:type="paragraph" w:styleId="1086" w:customStyle="1">
    <w:name w:val="Normal1"/>
    <w:qFormat/>
    <w:pPr>
      <w:pBdr/>
      <w:spacing w:line="100" w:lineRule="atLeast"/>
      <w:ind/>
    </w:pPr>
    <w:rPr>
      <w:lang w:eastAsia="zh-CN"/>
    </w:rPr>
  </w:style>
  <w:style w:type="paragraph" w:styleId="1087" w:customStyle="1">
    <w:name w:val="x_msoheader"/>
    <w:basedOn w:val="881"/>
    <w:qFormat/>
    <w:pPr>
      <w:pBdr/>
      <w:spacing w:afterAutospacing="1" w:beforeAutospacing="1"/>
      <w:ind/>
    </w:pPr>
    <w:rPr>
      <w:rFonts w:eastAsia="SimSun"/>
      <w:sz w:val="24"/>
      <w:szCs w:val="24"/>
    </w:rPr>
  </w:style>
  <w:style w:type="paragraph" w:styleId="1088" w:customStyle="1">
    <w:name w:val="x_msobodytext"/>
    <w:basedOn w:val="881"/>
    <w:qFormat/>
    <w:pPr>
      <w:pBdr/>
      <w:spacing w:afterAutospacing="1" w:beforeAutospacing="1"/>
      <w:ind/>
    </w:pPr>
    <w:rPr>
      <w:rFonts w:eastAsia="SimSun"/>
      <w:sz w:val="24"/>
      <w:szCs w:val="24"/>
    </w:rPr>
  </w:style>
  <w:style w:type="paragraph" w:styleId="1089" w:customStyle="1">
    <w:name w:val="x_msoheading9"/>
    <w:basedOn w:val="881"/>
    <w:qFormat/>
    <w:pPr>
      <w:pBdr/>
      <w:spacing w:afterAutospacing="1" w:beforeAutospacing="1"/>
      <w:ind/>
    </w:pPr>
    <w:rPr>
      <w:rFonts w:eastAsia="SimSun"/>
      <w:sz w:val="24"/>
      <w:szCs w:val="24"/>
    </w:rPr>
  </w:style>
  <w:style w:type="paragraph" w:styleId="1090" w:customStyle="1">
    <w:name w:val="x_msoheading8"/>
    <w:basedOn w:val="881"/>
    <w:qFormat/>
    <w:pPr>
      <w:pBdr/>
      <w:spacing w:afterAutospacing="1" w:beforeAutospacing="1"/>
      <w:ind/>
    </w:pPr>
    <w:rPr>
      <w:rFonts w:eastAsia="SimSun"/>
      <w:sz w:val="24"/>
      <w:szCs w:val="24"/>
    </w:rPr>
  </w:style>
  <w:style w:type="paragraph" w:styleId="1091" w:customStyle="1">
    <w:name w:val="x_msonormal"/>
    <w:basedOn w:val="881"/>
    <w:qFormat/>
    <w:pPr>
      <w:pBdr/>
      <w:spacing w:afterAutospacing="1" w:beforeAutospacing="1"/>
      <w:ind/>
    </w:pPr>
    <w:rPr>
      <w:rFonts w:eastAsia="SimSun"/>
      <w:sz w:val="24"/>
      <w:szCs w:val="24"/>
    </w:rPr>
  </w:style>
  <w:style w:type="paragraph" w:styleId="1092" w:customStyle="1">
    <w:name w:val="04partenormativa"/>
    <w:basedOn w:val="881"/>
    <w:qFormat/>
    <w:pPr>
      <w:pBdr/>
      <w:spacing w:afterAutospacing="1" w:beforeAutospacing="1"/>
      <w:ind/>
    </w:pPr>
    <w:rPr>
      <w:rFonts w:eastAsia="SimSun"/>
      <w:sz w:val="24"/>
      <w:szCs w:val="24"/>
    </w:rPr>
  </w:style>
  <w:style w:type="paragraph" w:styleId="1093" w:customStyle="1">
    <w:name w:val="paragraph"/>
    <w:basedOn w:val="881"/>
    <w:qFormat/>
    <w:pPr>
      <w:pBdr/>
      <w:spacing w:afterAutospacing="1" w:beforeAutospacing="1"/>
      <w:ind/>
    </w:pPr>
    <w:rPr>
      <w:sz w:val="24"/>
      <w:szCs w:val="24"/>
    </w:rPr>
  </w:style>
  <w:style w:type="paragraph" w:styleId="1094" w:customStyle="1">
    <w:name w:val="xl76"/>
    <w:basedOn w:val="881"/>
    <w:qFormat/>
    <w:pPr>
      <w:pBdr>
        <w:right w:val="single" w:color="000000" w:sz="8" w:space="0"/>
      </w:pBdr>
      <w:spacing w:afterAutospacing="1" w:beforeAutospacing="1"/>
      <w:ind/>
    </w:pPr>
    <w:rPr>
      <w:rFonts w:ascii="Arial" w:hAnsi="Arial" w:eastAsia="SimSun" w:cs="Arial"/>
    </w:rPr>
  </w:style>
  <w:style w:type="paragraph" w:styleId="1095" w:customStyle="1">
    <w:name w:val="xl75"/>
    <w:basedOn w:val="881"/>
    <w:qFormat/>
    <w:pPr>
      <w:pBdr>
        <w:right w:val="single" w:color="000000" w:sz="8" w:space="0"/>
      </w:pBdr>
      <w:spacing w:afterAutospacing="1" w:beforeAutospacing="1"/>
      <w:ind/>
      <w:jc w:val="center"/>
    </w:pPr>
    <w:rPr>
      <w:rFonts w:ascii="Arial" w:hAnsi="Arial" w:eastAsia="SimSun" w:cs="Arial"/>
    </w:rPr>
  </w:style>
  <w:style w:type="paragraph" w:styleId="1096" w:customStyle="1">
    <w:name w:val="xl74"/>
    <w:basedOn w:val="881"/>
    <w:qFormat/>
    <w:pPr>
      <w:pBdr>
        <w:right w:val="single" w:color="000000" w:sz="8" w:space="0"/>
      </w:pBdr>
      <w:spacing w:afterAutospacing="1" w:beforeAutospacing="1"/>
      <w:ind/>
    </w:pPr>
    <w:rPr>
      <w:rFonts w:ascii="Arial" w:hAnsi="Arial" w:eastAsia="SimSun" w:cs="Arial"/>
    </w:rPr>
  </w:style>
  <w:style w:type="paragraph" w:styleId="1097" w:customStyle="1">
    <w:name w:val="xl73"/>
    <w:basedOn w:val="881"/>
    <w:qFormat/>
    <w:pPr>
      <w:pBdr>
        <w:right w:val="single" w:color="000000" w:sz="8" w:space="0"/>
      </w:pBdr>
      <w:spacing w:afterAutospacing="1" w:beforeAutospacing="1"/>
      <w:ind/>
      <w:jc w:val="both"/>
    </w:pPr>
    <w:rPr>
      <w:rFonts w:ascii="Arial" w:hAnsi="Arial" w:eastAsia="SimSun" w:cs="Arial"/>
      <w:sz w:val="19"/>
      <w:szCs w:val="19"/>
    </w:rPr>
  </w:style>
  <w:style w:type="paragraph" w:styleId="1098" w:customStyle="1">
    <w:name w:val="xl72"/>
    <w:basedOn w:val="881"/>
    <w:qFormat/>
    <w:pPr>
      <w:pBdr>
        <w:left w:val="single" w:color="000000" w:sz="8" w:space="0"/>
        <w:right w:val="single" w:color="000000" w:sz="8" w:space="0"/>
      </w:pBdr>
      <w:spacing w:afterAutospacing="1" w:beforeAutospacing="1"/>
      <w:ind/>
    </w:pPr>
    <w:rPr>
      <w:rFonts w:ascii="Arial" w:hAnsi="Arial" w:eastAsia="SimSun" w:cs="Arial"/>
    </w:rPr>
  </w:style>
  <w:style w:type="paragraph" w:styleId="1099" w:customStyle="1">
    <w:name w:val="xl71"/>
    <w:basedOn w:val="881"/>
    <w:qFormat/>
    <w:pPr>
      <w:pBdr>
        <w:bottom w:val="single" w:color="000000" w:sz="8" w:space="0"/>
        <w:right w:val="single" w:color="000000" w:sz="8" w:space="0"/>
      </w:pBdr>
      <w:spacing w:afterAutospacing="1" w:beforeAutospacing="1"/>
      <w:ind/>
    </w:pPr>
    <w:rPr>
      <w:rFonts w:ascii="Arial" w:hAnsi="Arial" w:eastAsia="SimSun" w:cs="Arial"/>
    </w:rPr>
  </w:style>
  <w:style w:type="paragraph" w:styleId="1100" w:customStyle="1">
    <w:name w:val="xl70"/>
    <w:basedOn w:val="881"/>
    <w:qFormat/>
    <w:pPr>
      <w:pBdr>
        <w:bottom w:val="single" w:color="000000" w:sz="8" w:space="0"/>
        <w:right w:val="single" w:color="000000" w:sz="8" w:space="0"/>
      </w:pBdr>
      <w:spacing w:afterAutospacing="1" w:beforeAutospacing="1"/>
      <w:ind/>
      <w:jc w:val="both"/>
    </w:pPr>
    <w:rPr>
      <w:rFonts w:ascii="Arial" w:hAnsi="Arial" w:eastAsia="SimSun" w:cs="Arial"/>
      <w:b/>
      <w:bCs/>
      <w:sz w:val="19"/>
      <w:szCs w:val="19"/>
    </w:rPr>
  </w:style>
  <w:style w:type="paragraph" w:styleId="1101" w:customStyle="1">
    <w:name w:val="xl69"/>
    <w:basedOn w:val="881"/>
    <w:qFormat/>
    <w:pPr>
      <w:pBdr>
        <w:bottom w:val="single" w:color="000000" w:sz="8" w:space="0"/>
        <w:right w:val="single" w:color="000000" w:sz="8" w:space="0"/>
      </w:pBdr>
      <w:spacing w:afterAutospacing="1" w:beforeAutospacing="1"/>
      <w:ind/>
      <w:jc w:val="center"/>
    </w:pPr>
    <w:rPr>
      <w:rFonts w:ascii="Arial" w:hAnsi="Arial" w:eastAsia="SimSun" w:cs="Arial"/>
    </w:rPr>
  </w:style>
  <w:style w:type="paragraph" w:styleId="1102" w:customStyle="1">
    <w:name w:val="xl68"/>
    <w:basedOn w:val="881"/>
    <w:qFormat/>
    <w:pPr>
      <w:pBdr>
        <w:bottom w:val="single" w:color="000000" w:sz="8" w:space="0"/>
        <w:right w:val="single" w:color="000000" w:sz="8" w:space="0"/>
      </w:pBdr>
      <w:spacing w:afterAutospacing="1" w:beforeAutospacing="1"/>
      <w:ind/>
    </w:pPr>
    <w:rPr>
      <w:rFonts w:ascii="Arial" w:hAnsi="Arial" w:eastAsia="SimSun" w:cs="Arial"/>
    </w:rPr>
  </w:style>
  <w:style w:type="paragraph" w:styleId="1103" w:customStyle="1">
    <w:name w:val="xl67"/>
    <w:basedOn w:val="881"/>
    <w:qFormat/>
    <w:pPr>
      <w:pBdr>
        <w:left w:val="single" w:color="000000" w:sz="8" w:space="0"/>
        <w:bottom w:val="single" w:color="000000" w:sz="8" w:space="0"/>
        <w:right w:val="single" w:color="000000" w:sz="8" w:space="0"/>
      </w:pBdr>
      <w:spacing w:afterAutospacing="1" w:beforeAutospacing="1"/>
      <w:ind/>
    </w:pPr>
    <w:rPr>
      <w:rFonts w:ascii="Arial" w:hAnsi="Arial" w:eastAsia="SimSun" w:cs="Arial"/>
    </w:rPr>
  </w:style>
  <w:style w:type="paragraph" w:styleId="1104" w:customStyle="1">
    <w:name w:val="xl66"/>
    <w:basedOn w:val="881"/>
    <w:qFormat/>
    <w:pPr>
      <w:pBdr/>
      <w:spacing w:afterAutospacing="1" w:beforeAutospacing="1"/>
      <w:ind/>
      <w:jc w:val="both"/>
    </w:pPr>
    <w:rPr>
      <w:rFonts w:ascii="Arial" w:hAnsi="Arial" w:eastAsia="SimSun" w:cs="Arial"/>
      <w:b/>
      <w:bCs/>
    </w:rPr>
  </w:style>
  <w:style w:type="paragraph" w:styleId="1105" w:customStyle="1">
    <w:name w:val="xl65"/>
    <w:basedOn w:val="881"/>
    <w:qFormat/>
    <w:pPr>
      <w:pBdr/>
      <w:spacing w:afterAutospacing="1" w:beforeAutospacing="1"/>
      <w:ind/>
    </w:pPr>
    <w:rPr>
      <w:rFonts w:ascii="Arial" w:hAnsi="Arial" w:eastAsia="SimSun" w:cs="Arial"/>
      <w:b/>
      <w:bCs/>
    </w:rPr>
  </w:style>
  <w:style w:type="paragraph" w:styleId="1106" w:customStyle="1">
    <w:name w:val="font8"/>
    <w:basedOn w:val="881"/>
    <w:qFormat/>
    <w:pPr>
      <w:pBdr/>
      <w:spacing w:afterAutospacing="1" w:beforeAutospacing="1"/>
      <w:ind/>
    </w:pPr>
    <w:rPr>
      <w:rFonts w:ascii="Arial" w:hAnsi="Arial" w:eastAsia="SimSun" w:cs="Arial"/>
      <w:color w:val="000000"/>
      <w:sz w:val="19"/>
      <w:szCs w:val="19"/>
    </w:rPr>
  </w:style>
  <w:style w:type="paragraph" w:styleId="1107" w:customStyle="1">
    <w:name w:val="font7"/>
    <w:basedOn w:val="881"/>
    <w:qFormat/>
    <w:pPr>
      <w:pBdr/>
      <w:spacing w:afterAutospacing="1" w:beforeAutospacing="1"/>
      <w:ind/>
    </w:pPr>
    <w:rPr>
      <w:rFonts w:ascii="Arial" w:hAnsi="Arial" w:eastAsia="SimSun" w:cs="Arial"/>
      <w:b/>
      <w:bCs/>
      <w:color w:val="000000"/>
      <w:sz w:val="19"/>
      <w:szCs w:val="19"/>
    </w:rPr>
  </w:style>
  <w:style w:type="paragraph" w:styleId="1108" w:customStyle="1">
    <w:name w:val="font6"/>
    <w:basedOn w:val="881"/>
    <w:qFormat/>
    <w:pPr>
      <w:pBdr/>
      <w:spacing w:afterAutospacing="1" w:beforeAutospacing="1"/>
      <w:ind/>
    </w:pPr>
    <w:rPr>
      <w:rFonts w:ascii="Arial" w:hAnsi="Arial" w:eastAsia="SimSun" w:cs="Arial"/>
      <w:color w:val="000000"/>
    </w:rPr>
  </w:style>
  <w:style w:type="paragraph" w:styleId="1109" w:customStyle="1">
    <w:name w:val="font5"/>
    <w:basedOn w:val="881"/>
    <w:qFormat/>
    <w:pPr>
      <w:pBdr/>
      <w:spacing w:afterAutospacing="1" w:beforeAutospacing="1"/>
      <w:ind/>
    </w:pPr>
    <w:rPr>
      <w:rFonts w:ascii="Arial" w:hAnsi="Arial" w:eastAsia="SimSun" w:cs="Arial"/>
      <w:b/>
      <w:bCs/>
      <w:color w:val="000000"/>
    </w:rPr>
  </w:style>
  <w:style w:type="paragraph" w:styleId="1110" w:customStyle="1">
    <w:name w:val="xl77"/>
    <w:basedOn w:val="881"/>
    <w:qFormat/>
    <w:pPr>
      <w:pBdr>
        <w:top w:val="single" w:color="000000" w:sz="4" w:space="0"/>
        <w:bottom w:val="single" w:color="000000" w:sz="4" w:space="0"/>
        <w:right w:val="single" w:color="000000" w:sz="4" w:space="0"/>
      </w:pBdr>
      <w:spacing w:afterAutospacing="1" w:beforeAutospacing="1"/>
      <w:ind/>
    </w:pPr>
    <w:rPr>
      <w:rFonts w:ascii="Arial" w:hAnsi="Arial" w:eastAsia="SimSun" w:cs="Arial"/>
      <w:b/>
      <w:bCs/>
    </w:rPr>
  </w:style>
  <w:style w:type="paragraph" w:styleId="1111" w:customStyle="1">
    <w:name w:val="xl78"/>
    <w:basedOn w:val="881"/>
    <w:qFormat/>
    <w:pPr>
      <w:pBdr>
        <w:bottom w:val="single" w:color="000000" w:sz="8" w:space="0"/>
        <w:right w:val="single" w:color="000000" w:sz="8" w:space="0"/>
      </w:pBdr>
      <w:spacing w:afterAutospacing="1" w:beforeAutospacing="1"/>
      <w:ind/>
      <w:jc w:val="both"/>
    </w:pPr>
    <w:rPr>
      <w:rFonts w:ascii="Arial" w:hAnsi="Arial" w:eastAsia="SimSun" w:cs="Arial"/>
      <w:sz w:val="19"/>
      <w:szCs w:val="19"/>
    </w:rPr>
  </w:style>
  <w:style w:type="paragraph" w:styleId="1112" w:customStyle="1">
    <w:name w:val="xl79"/>
    <w:basedOn w:val="881"/>
    <w:qFormat/>
    <w:pPr>
      <w:pBdr>
        <w:bottom w:val="single" w:color="000000" w:sz="8" w:space="0"/>
        <w:right w:val="single" w:color="000000" w:sz="8" w:space="0"/>
      </w:pBdr>
      <w:spacing w:afterAutospacing="1" w:beforeAutospacing="1"/>
      <w:ind/>
      <w:jc w:val="both"/>
    </w:pPr>
    <w:rPr>
      <w:rFonts w:ascii="Arial" w:hAnsi="Arial" w:eastAsia="SimSun" w:cs="Arial"/>
    </w:rPr>
  </w:style>
  <w:style w:type="paragraph" w:styleId="1113" w:customStyle="1">
    <w:name w:val="xl80"/>
    <w:basedOn w:val="881"/>
    <w:qFormat/>
    <w:pPr>
      <w:pBdr>
        <w:bottom w:val="single" w:color="000000" w:sz="8" w:space="0"/>
        <w:right w:val="single" w:color="000000" w:sz="8" w:space="0"/>
      </w:pBdr>
      <w:spacing w:afterAutospacing="1" w:beforeAutospacing="1"/>
      <w:ind/>
    </w:pPr>
    <w:rPr>
      <w:rFonts w:ascii="Arial" w:hAnsi="Arial" w:eastAsia="SimSun" w:cs="Arial"/>
      <w:b/>
      <w:bCs/>
    </w:rPr>
  </w:style>
  <w:style w:type="paragraph" w:styleId="1114" w:customStyle="1">
    <w:name w:val="xl81"/>
    <w:basedOn w:val="881"/>
    <w:qFormat/>
    <w:pPr>
      <w:pBdr/>
      <w:spacing w:afterAutospacing="1" w:beforeAutospacing="1"/>
      <w:ind/>
      <w:jc w:val="center"/>
    </w:pPr>
    <w:rPr>
      <w:rFonts w:ascii="Arial" w:hAnsi="Arial" w:eastAsia="SimSun" w:cs="Arial"/>
      <w:b/>
      <w:bCs/>
    </w:rPr>
  </w:style>
  <w:style w:type="paragraph" w:styleId="1115" w:customStyle="1">
    <w:name w:val="xl82"/>
    <w:basedOn w:val="881"/>
    <w:qFormat/>
    <w:pPr>
      <w:pBdr/>
      <w:spacing w:afterAutospacing="1" w:beforeAutospacing="1"/>
      <w:ind/>
      <w:jc w:val="center"/>
    </w:pPr>
    <w:rPr>
      <w:rFonts w:ascii="Arial" w:hAnsi="Arial" w:eastAsia="SimSun" w:cs="Arial"/>
    </w:rPr>
  </w:style>
  <w:style w:type="paragraph" w:styleId="1116" w:customStyle="1">
    <w:name w:val="xl83"/>
    <w:basedOn w:val="881"/>
    <w:qFormat/>
    <w:pPr>
      <w:pBdr/>
      <w:spacing w:afterAutospacing="1" w:beforeAutospacing="1"/>
      <w:ind/>
      <w:jc w:val="both"/>
    </w:pPr>
    <w:rPr>
      <w:rFonts w:ascii="Arial" w:hAnsi="Arial" w:eastAsia="SimSun" w:cs="Arial"/>
    </w:rPr>
  </w:style>
  <w:style w:type="paragraph" w:styleId="1117" w:customStyle="1">
    <w:name w:val="xl84"/>
    <w:basedOn w:val="881"/>
    <w:qFormat/>
    <w:pPr>
      <w:pBdr/>
      <w:spacing w:afterAutospacing="1" w:beforeAutospacing="1"/>
      <w:ind/>
      <w:jc w:val="both"/>
    </w:pPr>
    <w:rPr>
      <w:rFonts w:ascii="Arial" w:hAnsi="Arial" w:eastAsia="SimSun" w:cs="Arial"/>
      <w:b/>
      <w:bCs/>
    </w:rPr>
  </w:style>
  <w:style w:type="paragraph" w:styleId="1118" w:customStyle="1">
    <w:name w:val="xl85"/>
    <w:basedOn w:val="881"/>
    <w:qFormat/>
    <w:pPr>
      <w:pBdr>
        <w:bottom w:val="single" w:color="000000" w:sz="8" w:space="0"/>
      </w:pBdr>
      <w:spacing w:afterAutospacing="1" w:beforeAutospacing="1"/>
      <w:ind/>
      <w:jc w:val="both"/>
    </w:pPr>
    <w:rPr>
      <w:rFonts w:ascii="Arial" w:hAnsi="Arial" w:eastAsia="SimSun" w:cs="Arial"/>
      <w:b/>
      <w:bCs/>
    </w:rPr>
  </w:style>
  <w:style w:type="paragraph" w:styleId="1119" w:customStyle="1">
    <w:name w:val="xl86"/>
    <w:basedOn w:val="881"/>
    <w:qFormat/>
    <w:pPr>
      <w:pBdr>
        <w:top w:val="single" w:color="000000" w:sz="8" w:space="0"/>
        <w:left w:val="single" w:color="000000" w:sz="8" w:space="0"/>
        <w:bottom w:val="single" w:color="000000" w:sz="8" w:space="0"/>
      </w:pBdr>
      <w:spacing w:afterAutospacing="1" w:beforeAutospacing="1"/>
      <w:ind/>
      <w:jc w:val="both"/>
    </w:pPr>
    <w:rPr>
      <w:rFonts w:ascii="Arial" w:hAnsi="Arial" w:eastAsia="SimSun" w:cs="Arial"/>
      <w:b/>
      <w:bCs/>
    </w:rPr>
  </w:style>
  <w:style w:type="paragraph" w:styleId="1120" w:customStyle="1">
    <w:name w:val="xl87"/>
    <w:basedOn w:val="881"/>
    <w:qFormat/>
    <w:pPr>
      <w:pBdr>
        <w:top w:val="single" w:color="000000" w:sz="8" w:space="0"/>
        <w:bottom w:val="single" w:color="000000" w:sz="8" w:space="0"/>
      </w:pBdr>
      <w:spacing w:afterAutospacing="1" w:beforeAutospacing="1"/>
      <w:ind/>
      <w:jc w:val="both"/>
    </w:pPr>
    <w:rPr>
      <w:rFonts w:ascii="Arial" w:hAnsi="Arial" w:eastAsia="SimSun" w:cs="Arial"/>
      <w:b/>
      <w:bCs/>
    </w:rPr>
  </w:style>
  <w:style w:type="paragraph" w:styleId="1121" w:customStyle="1">
    <w:name w:val="xl88"/>
    <w:basedOn w:val="881"/>
    <w:qFormat/>
    <w:pPr>
      <w:pBdr>
        <w:top w:val="single" w:color="000000" w:sz="8" w:space="0"/>
        <w:bottom w:val="single" w:color="000000" w:sz="8" w:space="0"/>
        <w:right w:val="single" w:color="000000" w:sz="8" w:space="0"/>
      </w:pBdr>
      <w:spacing w:afterAutospacing="1" w:beforeAutospacing="1"/>
      <w:ind/>
      <w:jc w:val="both"/>
    </w:pPr>
    <w:rPr>
      <w:rFonts w:ascii="Arial" w:hAnsi="Arial" w:eastAsia="SimSun" w:cs="Arial"/>
      <w:b/>
      <w:bCs/>
    </w:rPr>
  </w:style>
  <w:style w:type="paragraph" w:styleId="1122" w:customStyle="1">
    <w:name w:val="xl89"/>
    <w:basedOn w:val="881"/>
    <w:qFormat/>
    <w:pPr>
      <w:pBdr>
        <w:top w:val="single" w:color="000000" w:sz="4" w:space="0"/>
        <w:left w:val="single" w:color="000000" w:sz="4" w:space="0"/>
        <w:bottom w:val="single" w:color="000000" w:sz="4" w:space="0"/>
      </w:pBdr>
      <w:spacing w:afterAutospacing="1" w:beforeAutospacing="1"/>
      <w:ind/>
      <w:jc w:val="center"/>
    </w:pPr>
    <w:rPr>
      <w:rFonts w:eastAsia="SimSun"/>
      <w:b/>
      <w:bCs/>
      <w:sz w:val="24"/>
      <w:szCs w:val="24"/>
    </w:rPr>
  </w:style>
  <w:style w:type="paragraph" w:styleId="1123" w:customStyle="1">
    <w:name w:val="xl90"/>
    <w:basedOn w:val="881"/>
    <w:qFormat/>
    <w:pPr>
      <w:pBdr>
        <w:top w:val="single" w:color="000000" w:sz="4" w:space="0"/>
        <w:bottom w:val="single" w:color="000000" w:sz="4" w:space="0"/>
      </w:pBdr>
      <w:spacing w:afterAutospacing="1" w:beforeAutospacing="1"/>
      <w:ind/>
      <w:jc w:val="center"/>
    </w:pPr>
    <w:rPr>
      <w:rFonts w:eastAsia="SimSun"/>
      <w:b/>
      <w:bCs/>
      <w:sz w:val="24"/>
      <w:szCs w:val="24"/>
    </w:rPr>
  </w:style>
  <w:style w:type="paragraph" w:styleId="1124" w:customStyle="1">
    <w:name w:val="xl91"/>
    <w:basedOn w:val="881"/>
    <w:qFormat/>
    <w:pPr>
      <w:pBdr>
        <w:top w:val="single" w:color="000000" w:sz="4" w:space="0"/>
        <w:bottom w:val="single" w:color="000000" w:sz="4" w:space="0"/>
        <w:right w:val="single" w:color="000000" w:sz="4" w:space="0"/>
      </w:pBdr>
      <w:spacing w:afterAutospacing="1" w:beforeAutospacing="1"/>
      <w:ind/>
      <w:jc w:val="center"/>
    </w:pPr>
    <w:rPr>
      <w:rFonts w:eastAsia="SimSun"/>
      <w:b/>
      <w:bCs/>
      <w:sz w:val="24"/>
      <w:szCs w:val="24"/>
    </w:rPr>
  </w:style>
  <w:style w:type="paragraph" w:styleId="1125" w:customStyle="1">
    <w:name w:val="xl92"/>
    <w:basedOn w:val="881"/>
    <w:qFormat/>
    <w:pPr>
      <w:pBdr>
        <w:top w:val="single" w:color="000000" w:sz="8" w:space="0"/>
        <w:left w:val="single" w:color="000000" w:sz="4" w:space="0"/>
        <w:bottom w:val="single" w:color="000000" w:sz="4" w:space="0"/>
      </w:pBdr>
      <w:spacing w:afterAutospacing="1" w:beforeAutospacing="1"/>
      <w:ind/>
      <w:jc w:val="center"/>
    </w:pPr>
    <w:rPr>
      <w:rFonts w:eastAsia="SimSun"/>
      <w:b/>
      <w:bCs/>
      <w:sz w:val="24"/>
      <w:szCs w:val="24"/>
    </w:rPr>
  </w:style>
  <w:style w:type="paragraph" w:styleId="1126" w:customStyle="1">
    <w:name w:val="xl93"/>
    <w:basedOn w:val="881"/>
    <w:qFormat/>
    <w:pPr>
      <w:pBdr>
        <w:top w:val="single" w:color="000000" w:sz="8" w:space="0"/>
        <w:bottom w:val="single" w:color="000000" w:sz="4" w:space="0"/>
      </w:pBdr>
      <w:spacing w:afterAutospacing="1" w:beforeAutospacing="1"/>
      <w:ind/>
      <w:jc w:val="center"/>
    </w:pPr>
    <w:rPr>
      <w:rFonts w:eastAsia="SimSun"/>
      <w:b/>
      <w:bCs/>
      <w:sz w:val="24"/>
      <w:szCs w:val="24"/>
    </w:rPr>
  </w:style>
  <w:style w:type="paragraph" w:styleId="1127" w:customStyle="1">
    <w:name w:val="xl94"/>
    <w:basedOn w:val="881"/>
    <w:qFormat/>
    <w:pPr>
      <w:pBdr>
        <w:top w:val="single" w:color="000000" w:sz="8" w:space="0"/>
        <w:bottom w:val="single" w:color="000000" w:sz="4" w:space="0"/>
        <w:right w:val="single" w:color="000000" w:sz="4" w:space="0"/>
      </w:pBdr>
      <w:spacing w:afterAutospacing="1" w:beforeAutospacing="1"/>
      <w:ind/>
      <w:jc w:val="center"/>
    </w:pPr>
    <w:rPr>
      <w:rFonts w:eastAsia="SimSun"/>
      <w:b/>
      <w:bCs/>
      <w:sz w:val="24"/>
      <w:szCs w:val="24"/>
    </w:rPr>
  </w:style>
  <w:style w:type="paragraph" w:styleId="1128" w:customStyle="1">
    <w:name w:val="xl95"/>
    <w:basedOn w:val="881"/>
    <w:qFormat/>
    <w:pPr>
      <w:pBdr>
        <w:top w:val="single" w:color="000000" w:sz="4" w:space="0"/>
        <w:bottom w:val="single" w:color="000000" w:sz="8" w:space="0"/>
      </w:pBdr>
      <w:spacing w:afterAutospacing="1" w:beforeAutospacing="1"/>
      <w:ind/>
      <w:jc w:val="both"/>
    </w:pPr>
    <w:rPr>
      <w:rFonts w:ascii="Arial" w:hAnsi="Arial" w:eastAsia="SimSun" w:cs="Arial"/>
      <w:b/>
      <w:bCs/>
    </w:rPr>
  </w:style>
  <w:style w:type="paragraph" w:styleId="1129" w:customStyle="1">
    <w:name w:val="xl96"/>
    <w:basedOn w:val="881"/>
    <w:qFormat/>
    <w:pPr>
      <w:pBdr>
        <w:top w:val="single" w:color="000000" w:sz="4" w:space="0"/>
        <w:bottom w:val="single" w:color="000000" w:sz="8" w:space="0"/>
      </w:pBdr>
      <w:spacing w:afterAutospacing="1" w:beforeAutospacing="1"/>
      <w:ind/>
      <w:jc w:val="both"/>
    </w:pPr>
    <w:rPr>
      <w:rFonts w:ascii="Arial" w:hAnsi="Arial" w:eastAsia="SimSun" w:cs="Arial"/>
      <w:b/>
      <w:bCs/>
      <w:sz w:val="19"/>
      <w:szCs w:val="19"/>
    </w:rPr>
  </w:style>
  <w:style w:type="paragraph" w:styleId="1130" w:customStyle="1">
    <w:name w:val="xl97"/>
    <w:basedOn w:val="881"/>
    <w:qFormat/>
    <w:pPr>
      <w:pBdr>
        <w:top w:val="single" w:color="000000" w:sz="8" w:space="0"/>
        <w:left w:val="single" w:color="000000" w:sz="8" w:space="0"/>
        <w:bottom w:val="single" w:color="000000" w:sz="8" w:space="0"/>
      </w:pBdr>
      <w:spacing w:afterAutospacing="1" w:beforeAutospacing="1"/>
      <w:ind/>
      <w:jc w:val="both"/>
    </w:pPr>
    <w:rPr>
      <w:rFonts w:ascii="Arial" w:hAnsi="Arial" w:eastAsia="SimSun" w:cs="Arial"/>
      <w:b/>
      <w:bCs/>
      <w:sz w:val="19"/>
      <w:szCs w:val="19"/>
    </w:rPr>
  </w:style>
  <w:style w:type="paragraph" w:styleId="1131" w:customStyle="1">
    <w:name w:val="xl98"/>
    <w:basedOn w:val="881"/>
    <w:qFormat/>
    <w:pPr>
      <w:pBdr>
        <w:top w:val="single" w:color="000000" w:sz="8" w:space="0"/>
        <w:bottom w:val="single" w:color="000000" w:sz="8" w:space="0"/>
      </w:pBdr>
      <w:spacing w:afterAutospacing="1" w:beforeAutospacing="1"/>
      <w:ind/>
      <w:jc w:val="both"/>
    </w:pPr>
    <w:rPr>
      <w:rFonts w:ascii="Arial" w:hAnsi="Arial" w:eastAsia="SimSun" w:cs="Arial"/>
      <w:b/>
      <w:bCs/>
      <w:sz w:val="19"/>
      <w:szCs w:val="19"/>
    </w:rPr>
  </w:style>
  <w:style w:type="paragraph" w:styleId="1132" w:customStyle="1">
    <w:name w:val="xl99"/>
    <w:basedOn w:val="881"/>
    <w:qFormat/>
    <w:pPr>
      <w:pBdr>
        <w:top w:val="single" w:color="000000" w:sz="8" w:space="0"/>
        <w:bottom w:val="single" w:color="000000" w:sz="8" w:space="0"/>
        <w:right w:val="single" w:color="000000" w:sz="8" w:space="0"/>
      </w:pBdr>
      <w:spacing w:afterAutospacing="1" w:beforeAutospacing="1"/>
      <w:ind/>
      <w:jc w:val="both"/>
    </w:pPr>
    <w:rPr>
      <w:rFonts w:ascii="Arial" w:hAnsi="Arial" w:eastAsia="SimSun" w:cs="Arial"/>
      <w:b/>
      <w:bCs/>
      <w:sz w:val="19"/>
      <w:szCs w:val="19"/>
    </w:rPr>
  </w:style>
  <w:style w:type="paragraph" w:styleId="1133" w:customStyle="1">
    <w:name w:val="xl100"/>
    <w:basedOn w:val="881"/>
    <w:qFormat/>
    <w:pPr>
      <w:pBdr/>
      <w:spacing w:afterAutospacing="1" w:beforeAutospacing="1"/>
      <w:ind/>
      <w:jc w:val="center"/>
    </w:pPr>
    <w:rPr>
      <w:rFonts w:ascii="Arial" w:hAnsi="Arial" w:eastAsia="SimSun" w:cs="Arial"/>
      <w:b/>
      <w:bCs/>
    </w:rPr>
  </w:style>
  <w:style w:type="paragraph" w:styleId="1134" w:customStyle="1">
    <w:name w:val="xl101"/>
    <w:basedOn w:val="881"/>
    <w:qFormat/>
    <w:pPr>
      <w:pBdr>
        <w:top w:val="single" w:color="000000" w:sz="8" w:space="0"/>
        <w:left w:val="single" w:color="000000" w:sz="8" w:space="0"/>
        <w:bottom w:val="single" w:color="000000" w:sz="8" w:space="0"/>
      </w:pBdr>
      <w:spacing w:afterAutospacing="1" w:beforeAutospacing="1"/>
      <w:ind/>
      <w:jc w:val="center"/>
    </w:pPr>
    <w:rPr>
      <w:rFonts w:eastAsia="SimSun"/>
      <w:b/>
      <w:bCs/>
      <w:sz w:val="24"/>
      <w:szCs w:val="24"/>
    </w:rPr>
  </w:style>
  <w:style w:type="paragraph" w:styleId="1135" w:customStyle="1">
    <w:name w:val="xl102"/>
    <w:basedOn w:val="881"/>
    <w:qFormat/>
    <w:pPr>
      <w:pBdr>
        <w:top w:val="single" w:color="000000" w:sz="8" w:space="0"/>
        <w:bottom w:val="single" w:color="000000" w:sz="8" w:space="0"/>
      </w:pBdr>
      <w:spacing w:afterAutospacing="1" w:beforeAutospacing="1"/>
      <w:ind/>
      <w:jc w:val="center"/>
    </w:pPr>
    <w:rPr>
      <w:rFonts w:eastAsia="SimSun"/>
      <w:b/>
      <w:bCs/>
      <w:sz w:val="24"/>
      <w:szCs w:val="24"/>
    </w:rPr>
  </w:style>
  <w:style w:type="paragraph" w:styleId="1136" w:customStyle="1">
    <w:name w:val="xl103"/>
    <w:basedOn w:val="881"/>
    <w:qFormat/>
    <w:pPr>
      <w:pBdr>
        <w:top w:val="single" w:color="000000" w:sz="8" w:space="0"/>
        <w:bottom w:val="single" w:color="000000" w:sz="8" w:space="0"/>
        <w:right w:val="single" w:color="000000" w:sz="4" w:space="0"/>
      </w:pBdr>
      <w:spacing w:afterAutospacing="1" w:beforeAutospacing="1"/>
      <w:ind/>
      <w:jc w:val="center"/>
    </w:pPr>
    <w:rPr>
      <w:rFonts w:eastAsia="SimSun"/>
      <w:b/>
      <w:bCs/>
      <w:sz w:val="24"/>
      <w:szCs w:val="24"/>
    </w:rPr>
  </w:style>
  <w:style w:type="paragraph" w:styleId="1137" w:customStyle="1">
    <w:name w:val="xl104"/>
    <w:basedOn w:val="881"/>
    <w:qFormat/>
    <w:pPr>
      <w:pBdr>
        <w:top w:val="single" w:color="000000" w:sz="8" w:space="0"/>
        <w:bottom w:val="single" w:color="000000" w:sz="8" w:space="0"/>
      </w:pBdr>
      <w:spacing w:afterAutospacing="1" w:beforeAutospacing="1"/>
      <w:ind/>
      <w:jc w:val="both"/>
    </w:pPr>
    <w:rPr>
      <w:rFonts w:ascii="Arial" w:hAnsi="Arial" w:eastAsia="SimSun" w:cs="Arial"/>
      <w:b/>
      <w:bCs/>
    </w:rPr>
  </w:style>
  <w:style w:type="paragraph" w:styleId="1138" w:customStyle="1">
    <w:name w:val="xl105"/>
    <w:basedOn w:val="881"/>
    <w:qFormat/>
    <w:pPr>
      <w:pBdr>
        <w:top w:val="single" w:color="000000" w:sz="8" w:space="0"/>
        <w:bottom w:val="single" w:color="000000" w:sz="8" w:space="0"/>
      </w:pBdr>
      <w:spacing w:afterAutospacing="1" w:beforeAutospacing="1"/>
      <w:ind/>
      <w:jc w:val="both"/>
    </w:pPr>
    <w:rPr>
      <w:rFonts w:ascii="Arial" w:hAnsi="Arial" w:eastAsia="SimSun" w:cs="Arial"/>
      <w:b/>
      <w:bCs/>
      <w:sz w:val="19"/>
      <w:szCs w:val="19"/>
    </w:rPr>
  </w:style>
  <w:style w:type="paragraph" w:styleId="1139" w:customStyle="1">
    <w:name w:val="xl106"/>
    <w:basedOn w:val="881"/>
    <w:qFormat/>
    <w:pPr>
      <w:pBdr>
        <w:top w:val="single" w:color="000000" w:sz="8" w:space="0"/>
        <w:bottom w:val="single" w:color="000000" w:sz="8" w:space="0"/>
        <w:right w:val="single" w:color="000000" w:sz="4" w:space="0"/>
      </w:pBdr>
      <w:spacing w:afterAutospacing="1" w:beforeAutospacing="1"/>
      <w:ind/>
      <w:jc w:val="center"/>
    </w:pPr>
    <w:rPr>
      <w:rFonts w:eastAsia="SimSun"/>
      <w:b/>
      <w:bCs/>
      <w:sz w:val="24"/>
      <w:szCs w:val="24"/>
    </w:rPr>
  </w:style>
  <w:style w:type="paragraph" w:styleId="1140" w:customStyle="1">
    <w:name w:val="xl107"/>
    <w:basedOn w:val="881"/>
    <w:qFormat/>
    <w:pPr>
      <w:pBdr>
        <w:top w:val="single" w:color="000000" w:sz="8" w:space="0"/>
      </w:pBdr>
      <w:spacing w:afterAutospacing="1" w:beforeAutospacing="1"/>
      <w:ind/>
      <w:jc w:val="both"/>
    </w:pPr>
    <w:rPr>
      <w:rFonts w:ascii="Arial" w:hAnsi="Arial" w:eastAsia="SimSun" w:cs="Arial"/>
    </w:rPr>
  </w:style>
  <w:style w:type="paragraph" w:styleId="1141" w:customStyle="1">
    <w:name w:val="Texto sem Formatação2"/>
    <w:basedOn w:val="881"/>
    <w:qFormat/>
    <w:pPr>
      <w:pBdr/>
      <w:spacing/>
      <w:ind/>
      <w:jc w:val="both"/>
    </w:pPr>
    <w:rPr>
      <w:rFonts w:ascii="Courier New" w:hAnsi="Courier New" w:eastAsia="SimSun" w:cs="Courier New"/>
      <w:lang w:eastAsia="zh-CN"/>
    </w:rPr>
  </w:style>
  <w:style w:type="paragraph" w:styleId="1142" w:customStyle="1">
    <w:name w:val="Texto préformatado"/>
    <w:basedOn w:val="881"/>
    <w:qFormat/>
    <w:pPr>
      <w:pBdr/>
      <w:spacing/>
      <w:ind/>
    </w:pPr>
    <w:rPr>
      <w:rFonts w:ascii="Liberation Mono;Courier New" w:hAnsi="Liberation Mono;Courier New" w:eastAsia="NSimSun" w:cs="Liberation Mono;Courier New"/>
    </w:rPr>
  </w:style>
  <w:style w:type="paragraph" w:styleId="1143" w:customStyle="1">
    <w:name w:val="Conteúdo do quadro"/>
    <w:basedOn w:val="881"/>
    <w:qFormat/>
    <w:pPr>
      <w:pBdr/>
      <w:spacing/>
      <w:ind/>
    </w:pPr>
  </w:style>
  <w:style w:type="paragraph" w:styleId="1144" w:customStyle="1">
    <w:name w:val="Título de tabela"/>
    <w:basedOn w:val="1081"/>
    <w:qFormat/>
    <w:pPr>
      <w:pBdr/>
      <w:spacing/>
      <w:ind/>
      <w:jc w:val="center"/>
    </w:pPr>
    <w:rPr>
      <w:b/>
      <w:bCs/>
    </w:rPr>
  </w:style>
  <w:style w:type="paragraph" w:styleId="1145" w:customStyle="1">
    <w:name w:val="Título e Conteúdo~LT~Gliederung 1"/>
    <w:qFormat/>
    <w:pPr>
      <w:pBdr/>
      <w:spacing w:before="283" w:line="216" w:lineRule="auto"/>
      <w:ind/>
    </w:pPr>
    <w:rPr>
      <w:rFonts w:ascii="Arial" w:hAnsi="Arial" w:eastAsia="Tahoma" w:cs="Calibri"/>
      <w:color w:val="000000"/>
      <w:sz w:val="56"/>
      <w:szCs w:val="24"/>
      <w:lang w:eastAsia="zh-CN" w:bidi="hi-IN"/>
    </w:rPr>
  </w:style>
  <w:style w:type="paragraph" w:styleId="1146" w:customStyle="1">
    <w:name w:val="Título e Conteúdo~LT~Titel"/>
    <w:qFormat/>
    <w:pPr>
      <w:pBdr/>
      <w:spacing w:line="200" w:lineRule="atLeast"/>
      <w:ind/>
    </w:pPr>
    <w:rPr>
      <w:rFonts w:ascii="Arial" w:hAnsi="Arial" w:eastAsia="Tahoma" w:cs="Noto Sans"/>
      <w:color w:val="000000"/>
      <w:sz w:val="36"/>
      <w:szCs w:val="24"/>
      <w:lang w:eastAsia="zh-CN" w:bidi="hi-IN"/>
    </w:rPr>
  </w:style>
  <w:style w:type="paragraph" w:styleId="1147" w:customStyle="1">
    <w:name w:val="Linha horizontal"/>
    <w:basedOn w:val="881"/>
    <w:next w:val="1030"/>
    <w:qFormat/>
    <w:pPr>
      <w:suppressLineNumbers w:val="true"/>
      <w:pBdr>
        <w:bottom w:val="single" w:color="808080" w:sz="2" w:space="0"/>
      </w:pBdr>
      <w:spacing w:after="283"/>
      <w:ind/>
    </w:pPr>
    <w:rPr>
      <w:sz w:val="12"/>
      <w:szCs w:val="12"/>
    </w:rPr>
  </w:style>
  <w:style w:type="paragraph" w:styleId="1148" w:customStyle="1">
    <w:name w:val="Título6"/>
    <w:basedOn w:val="1086"/>
    <w:next w:val="1086"/>
    <w:qFormat/>
    <w:pPr>
      <w:pBdr/>
      <w:spacing w:after="60" w:before="240"/>
      <w:ind/>
      <w:jc w:val="both"/>
    </w:pPr>
    <w:rPr>
      <w:rFonts w:ascii="Arial" w:hAnsi="Arial" w:eastAsia="SimSun;宋体" w:cs="Arial"/>
      <w:b/>
      <w:bCs/>
      <w:sz w:val="22"/>
      <w:szCs w:val="32"/>
      <w:lang w:eastAsia="en-US"/>
    </w:rPr>
  </w:style>
  <w:style w:type="paragraph" w:styleId="1149" w:customStyle="1">
    <w:name w:val="LO-normal"/>
    <w:qFormat/>
    <w:pPr>
      <w:widowControl w:val="false"/>
      <w:pBdr/>
      <w:spacing/>
      <w:ind/>
    </w:pPr>
    <w:rPr>
      <w:rFonts w:asciiTheme="minorHAnsi" w:hAnsiTheme="minorHAnsi" w:eastAsiaTheme="minorHAnsi" w:cstheme="minorBidi"/>
      <w:szCs w:val="22"/>
    </w:rPr>
  </w:style>
  <w:style w:type="paragraph" w:styleId="1150" w:customStyle="1">
    <w:name w:val="LO-normal0"/>
    <w:qFormat/>
    <w:pPr>
      <w:widowControl w:val="false"/>
      <w:pBdr/>
      <w:spacing/>
      <w:ind/>
    </w:pPr>
    <w:rPr>
      <w:rFonts w:asciiTheme="minorHAnsi" w:hAnsiTheme="minorHAnsi" w:eastAsiaTheme="minorHAnsi" w:cstheme="minorBidi"/>
      <w:szCs w:val="22"/>
    </w:rPr>
  </w:style>
  <w:style w:type="paragraph" w:styleId="1151" w:customStyle="1">
    <w:name w:val="LO-normal1"/>
    <w:qFormat/>
    <w:pPr>
      <w:widowControl w:val="false"/>
      <w:pBdr/>
      <w:spacing/>
      <w:ind/>
    </w:pPr>
    <w:rPr>
      <w:rFonts w:asciiTheme="minorHAnsi" w:hAnsiTheme="minorHAnsi" w:eastAsiaTheme="minorHAnsi" w:cstheme="minorBidi"/>
      <w:szCs w:val="22"/>
    </w:rPr>
  </w:style>
  <w:style w:type="paragraph" w:styleId="1152">
    <w:name w:val="Signature"/>
    <w:basedOn w:val="881"/>
    <w:link w:val="1021"/>
    <w:qFormat/>
    <w:pPr>
      <w:widowControl w:val="false"/>
      <w:suppressLineNumbers w:val="true"/>
      <w:pBdr/>
      <w:spacing/>
      <w:ind/>
    </w:pPr>
    <w:rPr>
      <w:rFonts w:ascii="Arial" w:hAnsi="Arial" w:eastAsia="Arial" w:cs="Arial"/>
      <w:sz w:val="22"/>
      <w:szCs w:val="22"/>
    </w:rPr>
  </w:style>
  <w:style w:type="paragraph" w:styleId="1153" w:customStyle="1">
    <w:name w:val="Revisão1"/>
    <w:uiPriority w:val="99"/>
    <w:semiHidden/>
    <w:qFormat/>
    <w:pPr>
      <w:pBdr/>
      <w:spacing/>
      <w:ind/>
    </w:pPr>
    <w:rPr>
      <w:rFonts w:ascii="Arial" w:hAnsi="Arial" w:eastAsia="Arial" w:cs="Arial"/>
      <w:sz w:val="22"/>
      <w:szCs w:val="22"/>
      <w:lang w:val="pt-PT"/>
    </w:rPr>
  </w:style>
  <w:style w:type="paragraph" w:styleId="1154" w:customStyle="1">
    <w:name w:val="Bloco de citação"/>
    <w:basedOn w:val="881"/>
    <w:qFormat/>
    <w:pPr>
      <w:widowControl w:val="false"/>
      <w:pBdr/>
      <w:spacing w:after="283"/>
      <w:ind w:right="567" w:left="567"/>
    </w:pPr>
    <w:rPr>
      <w:rFonts w:ascii="Arial" w:hAnsi="Arial" w:eastAsia="Arial" w:cs="Arial"/>
      <w:sz w:val="22"/>
      <w:szCs w:val="22"/>
    </w:rPr>
  </w:style>
  <w:style w:type="paragraph" w:styleId="1155" w:customStyle="1">
    <w:name w:val="Figura"/>
    <w:basedOn w:val="1034"/>
    <w:qFormat/>
    <w:pPr>
      <w:widowControl w:val="false"/>
      <w:suppressLineNumbers w:val="true"/>
      <w:pBdr/>
      <w:spacing w:after="120" w:before="120"/>
      <w:ind/>
    </w:pPr>
    <w:rPr>
      <w:rFonts w:ascii="Arial" w:hAnsi="Arial" w:eastAsia="Arial" w:cs="Arial"/>
      <w:sz w:val="24"/>
      <w:szCs w:val="24"/>
    </w:rPr>
  </w:style>
  <w:style w:type="paragraph" w:styleId="1156" w:customStyle="1">
    <w:name w:val="Estilo2"/>
    <w:basedOn w:val="881"/>
    <w:qFormat/>
    <w:pPr>
      <w:pBdr/>
      <w:spacing/>
      <w:ind w:hanging="284" w:left="2694"/>
      <w:jc w:val="both"/>
    </w:pPr>
    <w:rPr>
      <w:color w:val="000000"/>
      <w:sz w:val="24"/>
      <w:lang w:eastAsia="zh-CN"/>
    </w:rPr>
  </w:style>
  <w:style w:type="paragraph" w:styleId="1157" w:customStyle="1">
    <w:name w:val="Nivel 2-Opcional"/>
    <w:basedOn w:val="881"/>
    <w:qFormat/>
    <w:pPr>
      <w:pBdr/>
      <w:shd w:val="clear" w:color="auto" w:fill="76923c" w:themeFill="accent3" w:themeFillShade="BF"/>
      <w:spacing w:after="120" w:before="120" w:line="276" w:lineRule="auto"/>
      <w:ind/>
      <w:jc w:val="both"/>
    </w:pPr>
    <w:rPr>
      <w:rFonts w:ascii="Arial" w:hAnsi="Arial" w:eastAsia="Arial" w:cs="Arial"/>
      <w:i/>
      <w:color w:val="ff0000"/>
      <w:lang w:eastAsia="pt-BR"/>
    </w:rPr>
  </w:style>
  <w:style w:type="paragraph" w:styleId="1158" w:customStyle="1">
    <w:name w:val="Nível 4-R"/>
    <w:basedOn w:val="881"/>
    <w:qFormat/>
    <w:pPr>
      <w:pBdr/>
      <w:spacing w:after="120" w:before="120" w:line="276" w:lineRule="auto"/>
      <w:ind w:left="567"/>
      <w:jc w:val="both"/>
    </w:pPr>
    <w:rPr>
      <w:rFonts w:ascii="Arial" w:hAnsi="Arial" w:cs="Arial" w:eastAsiaTheme="minorEastAsia"/>
      <w:bCs/>
      <w:i/>
      <w:color w:val="ff0000"/>
      <w:lang w:eastAsia="pt-BR"/>
    </w:rPr>
  </w:style>
  <w:style w:type="paragraph" w:styleId="1159" w:customStyle="1">
    <w:name w:val="Nível 02"/>
    <w:basedOn w:val="1157"/>
    <w:link w:val="1027"/>
    <w:qFormat/>
    <w:pPr>
      <w:pBdr/>
      <w:shd w:val="clear" w:color="auto" w:fill="auto"/>
      <w:spacing/>
      <w:ind/>
    </w:pPr>
    <w:rPr>
      <w:i w:val="0"/>
      <w:iCs/>
      <w:color w:val="auto"/>
    </w:rPr>
  </w:style>
  <w:style w:type="paragraph" w:styleId="1160" w:customStyle="1">
    <w:name w:val="Texto de comentário1"/>
    <w:basedOn w:val="881"/>
    <w:next w:val="1038"/>
    <w:unhideWhenUsed/>
    <w:qFormat/>
    <w:pPr>
      <w:pBdr/>
      <w:spacing/>
      <w:ind/>
    </w:pPr>
    <w:rPr>
      <w:rFonts w:ascii="Ecofont_Spranq_eco_Sans" w:hAnsi="Ecofont_Spranq_eco_Sans" w:eastAsia="Calibri" w:cs="Tahoma"/>
      <w:sz w:val="22"/>
      <w:szCs w:val="22"/>
      <w:lang w:eastAsia="pt-BR"/>
    </w:rPr>
  </w:style>
  <w:style w:type="numbering" w:styleId="1161" w:customStyle="1">
    <w:name w:val="WW8Num2"/>
    <w:qFormat/>
    <w:pPr>
      <w:pBdr/>
      <w:spacing/>
      <w:ind/>
    </w:pPr>
  </w:style>
  <w:style w:type="table" w:styleId="1162" w:customStyle="1">
    <w:name w:val="Table Normal"/>
    <w:qFormat/>
    <w:pPr>
      <w:pBdr/>
      <w:spacing/>
      <w:ind/>
    </w:pPr>
    <w:tblPr>
      <w:tblCellMar>
        <w:left w:w="0" w:type="dxa"/>
        <w:top w:w="0" w:type="dxa"/>
        <w:right w:w="0"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3">
    <w:name w:val="Table Grid"/>
    <w:basedOn w:val="892"/>
    <w:uiPriority w:val="39"/>
    <w:qFormat/>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4" w:customStyle="1">
    <w:name w:val="Table Grid Light"/>
    <w:basedOn w:val="892"/>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5" w:customStyle="1">
    <w:name w:val="Tabela Simples 11"/>
    <w:basedOn w:val="892"/>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fill="f2f2f2" w:themeFill="text1" w:themeFillTint="0D"/>
        <w:tcBorders/>
      </w:tcPr>
    </w:tblStylePr>
    <w:tblStylePr w:type="band1Vert">
      <w:pPr>
        <w:pBdr/>
        <w:spacing/>
        <w:ind/>
      </w:pPr>
      <w:tblPr>
        <w:tblBorders/>
      </w:tblPr>
      <w:tcPr>
        <w:shd w:val="clear" w:color="f2f2f2"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6" w:customStyle="1">
    <w:name w:val="Tabela Simples 21"/>
    <w:basedOn w:val="892"/>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bottom w:val="single" w:color="000000" w:themeColor="text1"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7" w:customStyle="1">
    <w:name w:val="Tabela Simples 31"/>
    <w:basedOn w:val="892"/>
    <w:uiPriority w:val="99"/>
    <w:pPr>
      <w:pBdr/>
      <w:spacing/>
      <w:ind/>
    </w:pPr>
    <w:tblPr>
      <w:tblBorders/>
    </w:tblPr>
    <w:tcPr>
      <w:tcBorders/>
    </w:tcPr>
    <w:tblStylePr w:type="band1Horz">
      <w:rPr>
        <w:sz w:val="22"/>
      </w:rPr>
      <w:pPr>
        <w:pBdr/>
        <w:spacing/>
        <w:ind/>
      </w:pPr>
      <w:tblPr>
        <w:tblBorders/>
      </w:tblPr>
      <w:tcPr>
        <w:shd w:val="clear" w:color="f2f2f2" w:fill="f2f2f2" w:themeFill="text1" w:themeFillTint="0D"/>
        <w:tcBorders/>
      </w:tcPr>
    </w:tblStylePr>
    <w:tblStylePr w:type="band1Vert">
      <w:rPr>
        <w:sz w:val="22"/>
      </w:rPr>
      <w:pPr>
        <w:pBdr/>
        <w:spacing/>
        <w:ind/>
      </w:pPr>
      <w:tblPr>
        <w:tblBorders/>
      </w:tblPr>
      <w:tcPr>
        <w:shd w:val="clear" w:color="f2f2f2"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rPr>
      <w:pPr>
        <w:pBdr/>
        <w:spacing/>
        <w:ind/>
      </w:pPr>
      <w:tblPr>
        <w:tblBorders/>
      </w:tblPr>
      <w:tcPr>
        <w:tcBorders/>
      </w:tcPr>
    </w:tblStylePr>
    <w:tblStylePr w:type="lastRow">
      <w:rPr>
        <w:b/>
        <w:caps/>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8" w:customStyle="1">
    <w:name w:val="Tabela Simples 41"/>
    <w:basedOn w:val="892"/>
    <w:uiPriority w:val="99"/>
    <w:pPr>
      <w:pBdr/>
      <w:spacing/>
      <w:ind/>
    </w:pPr>
    <w:tblPr>
      <w:tblBorders/>
    </w:tblPr>
    <w:tcPr>
      <w:tcBorders/>
    </w:tcPr>
    <w:tblStylePr w:type="band1Horz">
      <w:rPr>
        <w:sz w:val="22"/>
      </w:rPr>
      <w:pPr>
        <w:pBdr/>
        <w:spacing/>
        <w:ind/>
      </w:pPr>
      <w:tblPr>
        <w:tblBorders/>
      </w:tblPr>
      <w:tcPr>
        <w:shd w:val="clear" w:color="f2f2f2" w:fill="f2f2f2" w:themeFill="text1" w:themeFillTint="0D"/>
        <w:tcBorders/>
      </w:tcPr>
    </w:tblStylePr>
    <w:tblStylePr w:type="band1Vert">
      <w:rPr>
        <w:sz w:val="22"/>
      </w:rPr>
      <w:pPr>
        <w:pBdr/>
        <w:spacing/>
        <w:ind/>
      </w:pPr>
      <w:tblPr>
        <w:tblBorders/>
      </w:tblPr>
      <w:tcPr>
        <w:shd w:val="clear" w:color="f2f2f2"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9" w:customStyle="1">
    <w:name w:val="Tabela Simples 51"/>
    <w:basedOn w:val="892"/>
    <w:uiPriority w:val="99"/>
    <w:pPr>
      <w:pBdr/>
      <w:spacing/>
      <w:ind/>
    </w:pPr>
    <w:tblPr>
      <w:tblBorders/>
    </w:tblPr>
    <w:tcPr>
      <w:tcBorders/>
    </w:tcPr>
    <w:tblStylePr w:type="band1Horz">
      <w:rPr>
        <w:sz w:val="22"/>
      </w:rPr>
      <w:pPr>
        <w:pBdr/>
        <w:spacing/>
        <w:ind/>
      </w:pPr>
      <w:tblPr>
        <w:tblBorders/>
      </w:tblPr>
      <w:tcPr>
        <w:shd w:val="clear" w:color="f2f2f2" w:fill="f2f2f2" w:themeFill="text1" w:themeFillTint="0D"/>
        <w:tcBorders/>
      </w:tcPr>
    </w:tblStylePr>
    <w:tblStylePr w:type="band1Vert">
      <w:rPr>
        <w:sz w:val="22"/>
      </w:rPr>
      <w:pPr>
        <w:pBdr/>
        <w:spacing/>
        <w:ind/>
      </w:pPr>
      <w:tblPr>
        <w:tblBorders/>
      </w:tblPr>
      <w:tcPr>
        <w:shd w:val="clear" w:color="f2f2f2"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right w:val="single" w:color="404040" w:sz="4" w:space="0"/>
        </w:tcBorders>
      </w:tcPr>
    </w:tblStylePr>
    <w:tblStylePr w:type="firstRow">
      <w:rPr>
        <w:i/>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rPr>
      <w:pPr>
        <w:pBdr/>
        <w:spacing/>
        <w:ind/>
      </w:pPr>
      <w:tblPr>
        <w:tblBorders/>
      </w:tblPr>
      <w:tcPr>
        <w:shd w:val="clear" w:color="ffffff" w:fill="auto"/>
        <w:tcBorders>
          <w:left w:val="single" w:color="404040" w:sz="4" w:space="0"/>
        </w:tcBorders>
      </w:tcPr>
    </w:tblStylePr>
    <w:tblStylePr w:type="lastRow">
      <w:rPr>
        <w:i/>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0" w:customStyle="1">
    <w:name w:val="Tabela de Grade 1 Clara1"/>
    <w:basedOn w:val="892"/>
    <w:uiPriority w:val="99"/>
    <w:pPr>
      <w:pBdr/>
      <w:spacing/>
      <w:ind/>
    </w:pPr>
    <w:tblPr>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tex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1" w:customStyle="1">
    <w:name w:val="Grid Table 1 Light - Accent 1"/>
    <w:basedOn w:val="892"/>
    <w:uiPriority w:val="99"/>
    <w:pPr>
      <w:pBdr/>
      <w:spacing/>
      <w:ind/>
    </w:pPr>
    <w:tblPr>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cBorders/>
    </w:tcPr>
    <w:tblStylePr w:type="band1Horz">
      <w:rPr>
        <w:sz w:val="22"/>
      </w:rPr>
      <w:pPr>
        <w:pBdr/>
        <w:spacing/>
        <w:ind/>
      </w:pPr>
      <w:tblPr>
        <w:tblBorders/>
      </w:tblPr>
      <w:tcPr>
        <w:tcBorders>
          <w:top w:val="single" w:color="4f81bd" w:themeColor="accent1" w:sz="4" w:space="0"/>
          <w:left w:val="single" w:color="4f81bd" w:themeColor="accent1" w:sz="4" w:space="0"/>
          <w:bottom w:val="single" w:color="4f81bd" w:themeColor="accent1" w:sz="4" w:space="0"/>
          <w:right w:val="single" w:color="4f81bd"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4f81bd" w:themeColor="accen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2" w:customStyle="1">
    <w:name w:val="Grid Table 1 Light - Accent 2"/>
    <w:basedOn w:val="892"/>
    <w:uiPriority w:val="99"/>
    <w:pPr>
      <w:pBdr/>
      <w:spacing/>
      <w:ind/>
    </w:pPr>
    <w:tblPr>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cBorders/>
    </w:tcPr>
    <w:tblStylePr w:type="band1Horz">
      <w:rPr>
        <w:sz w:val="22"/>
      </w:rPr>
      <w:pPr>
        <w:pBdr/>
        <w:spacing/>
        <w:ind/>
      </w:pPr>
      <w:tblPr>
        <w:tblBorders/>
      </w:tblPr>
      <w:tcPr>
        <w:tcBorders>
          <w:top w:val="single" w:color="c0504d" w:themeColor="accent2" w:sz="4" w:space="0"/>
          <w:left w:val="single" w:color="c0504d" w:themeColor="accent2" w:sz="4" w:space="0"/>
          <w:bottom w:val="single" w:color="c0504d" w:themeColor="accent2" w:sz="4" w:space="0"/>
          <w:right w:val="single" w:color="c0504d"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c0504d" w:themeColor="accent2"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3" w:customStyle="1">
    <w:name w:val="Grid Table 1 Light - Accent 3"/>
    <w:basedOn w:val="892"/>
    <w:uiPriority w:val="99"/>
    <w:pPr>
      <w:pBdr/>
      <w:spacing/>
      <w:ind/>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cBorders/>
    </w:tcPr>
    <w:tblStylePr w:type="band1Horz">
      <w:rPr>
        <w:sz w:val="22"/>
      </w:rPr>
      <w:pPr>
        <w:pBdr/>
        <w:spacing/>
        <w:ind/>
      </w:pPr>
      <w:tblPr>
        <w:tblBorders/>
      </w:tblPr>
      <w:tcPr>
        <w:tcBorders>
          <w:top w:val="single" w:color="9bbb59" w:themeColor="accent3" w:sz="4" w:space="0"/>
          <w:left w:val="single" w:color="9bbb59" w:themeColor="accent3" w:sz="4" w:space="0"/>
          <w:bottom w:val="single" w:color="9bbb59" w:themeColor="accent3" w:sz="4" w:space="0"/>
          <w:right w:val="single" w:color="9bbb59"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9bbb59" w:themeColor="accent3"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4" w:customStyle="1">
    <w:name w:val="Grid Table 1 Light - Accent 4"/>
    <w:basedOn w:val="892"/>
    <w:uiPriority w:val="99"/>
    <w:pPr>
      <w:pBdr/>
      <w:spacing/>
      <w:ind/>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cBorders/>
    </w:tcPr>
    <w:tblStylePr w:type="band1Horz">
      <w:rPr>
        <w:sz w:val="22"/>
      </w:rPr>
      <w:pPr>
        <w:pBdr/>
        <w:spacing/>
        <w:ind/>
      </w:pPr>
      <w:tblPr>
        <w:tblBorders/>
      </w:tblPr>
      <w:tcPr>
        <w:tcBorders>
          <w:top w:val="single" w:color="8064a2" w:themeColor="accent4" w:sz="4" w:space="0"/>
          <w:left w:val="single" w:color="8064a2" w:themeColor="accent4" w:sz="4" w:space="0"/>
          <w:bottom w:val="single" w:color="8064a2" w:themeColor="accent4" w:sz="4" w:space="0"/>
          <w:right w:val="single" w:color="8064a2"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8064a2" w:themeColor="accent4"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5" w:customStyle="1">
    <w:name w:val="Grid Table 1 Light - Accent 5"/>
    <w:basedOn w:val="892"/>
    <w:uiPriority w:val="99"/>
    <w:pPr>
      <w:pBdr/>
      <w:spacing/>
      <w:ind/>
    </w:pPr>
    <w:tblPr>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cBorders/>
    </w:tcPr>
    <w:tblStylePr w:type="band1Horz">
      <w:rPr>
        <w:sz w:val="22"/>
      </w:rPr>
      <w:pPr>
        <w:pBdr/>
        <w:spacing/>
        <w:ind/>
      </w:pPr>
      <w:tblPr>
        <w:tblBorders/>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4bacc6" w:themeColor="accent5"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6" w:customStyle="1">
    <w:name w:val="Grid Table 1 Light - Accent 6"/>
    <w:basedOn w:val="892"/>
    <w:uiPriority w:val="99"/>
    <w:pPr>
      <w:pBdr/>
      <w:spacing/>
      <w:ind/>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cBorders/>
    </w:tcPr>
    <w:tblStylePr w:type="band1Horz">
      <w:rPr>
        <w:sz w:val="22"/>
      </w:rPr>
      <w:pPr>
        <w:pBdr/>
        <w:spacing/>
        <w:ind/>
      </w:pPr>
      <w:tblPr>
        <w:tblBorders/>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f79646" w:themeColor="accent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7" w:customStyle="1">
    <w:name w:val="Tabela de Grade 21"/>
    <w:basedOn w:val="892"/>
    <w:uiPriority w:val="99"/>
    <w:pPr>
      <w:pBdr/>
      <w:spacing/>
      <w:ind/>
    </w:pPr>
    <w:tblPr>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sz w:val="22"/>
      </w:rPr>
      <w:pPr>
        <w:pBdr/>
        <w:spacing/>
        <w:ind/>
      </w:pPr>
      <w:tblPr>
        <w:tblBorders/>
      </w:tblPr>
      <w:tcPr>
        <w:shd w:val="clear" w:color="cbcbcb" w:fill="cbcbcb" w:themeFill="text1" w:themeFillTint="34"/>
        <w:tcBorders/>
      </w:tcPr>
    </w:tblStylePr>
    <w:tblStylePr w:type="band1Vert">
      <w:rPr>
        <w:sz w:val="22"/>
      </w:rPr>
      <w:pPr>
        <w:pBdr/>
        <w:spacing/>
        <w:ind/>
      </w:pPr>
      <w:tblPr>
        <w:tblBorders/>
      </w:tblPr>
      <w:tcPr>
        <w:shd w:val="clear" w:color="cbcbcb"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000000" w:themeColor="tex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8" w:customStyle="1">
    <w:name w:val="Grid Table 2 - Accent 1"/>
    <w:basedOn w:val="892"/>
    <w:uiPriority w:val="99"/>
    <w:pPr>
      <w:pBdr/>
      <w:spacing/>
      <w:ind/>
    </w:pPr>
    <w:tblPr>
      <w:tblBorders>
        <w:bottom w:val="single" w:color="5d8ac2" w:themeColor="accent1" w:themeTint="EA" w:sz="4" w:space="0"/>
        <w:insideH w:val="single" w:color="5d8ac2" w:themeColor="accent1" w:themeTint="EA" w:sz="4" w:space="0"/>
        <w:insideV w:val="single" w:color="5d8ac2" w:themeColor="accent1" w:themeTint="EA" w:sz="4" w:space="0"/>
      </w:tblBorders>
    </w:tblPr>
    <w:tcPr>
      <w:tcBorders/>
    </w:tcPr>
    <w:tblStylePr w:type="band1Horz">
      <w:rPr>
        <w:sz w:val="22"/>
      </w:rPr>
      <w:pPr>
        <w:pBdr/>
        <w:spacing/>
        <w:ind/>
      </w:pPr>
      <w:tblPr>
        <w:tblBorders/>
      </w:tblPr>
      <w:tcPr>
        <w:shd w:val="clear" w:color="dae5f1" w:fill="dae5f1" w:themeFill="accent1" w:themeFillTint="34"/>
        <w:tcBorders/>
      </w:tcPr>
    </w:tblStylePr>
    <w:tblStylePr w:type="band1Vert">
      <w:rPr>
        <w:sz w:val="22"/>
      </w:rPr>
      <w:pPr>
        <w:pBdr/>
        <w:spacing/>
        <w:ind/>
      </w:pPr>
      <w:tblPr>
        <w:tblBorders/>
      </w:tblPr>
      <w:tcPr>
        <w:shd w:val="clear" w:color="dae5f1"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4f81bd" w:themeColor="accen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4f81bd"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9" w:customStyle="1">
    <w:name w:val="Grid Table 2 - Accent 2"/>
    <w:basedOn w:val="892"/>
    <w:uiPriority w:val="99"/>
    <w:pPr>
      <w:pBdr/>
      <w:spacing/>
      <w:ind/>
    </w:pPr>
    <w:tblPr>
      <w:tblBorders>
        <w:bottom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sz w:val="22"/>
      </w:rPr>
      <w:pPr>
        <w:pBdr/>
        <w:spacing/>
        <w:ind/>
      </w:pPr>
      <w:tblPr>
        <w:tblBorders/>
      </w:tblPr>
      <w:tcPr>
        <w:shd w:val="clear" w:color="f2dcdc" w:fill="f2dcdc" w:themeFill="accent2" w:themeFillTint="32"/>
        <w:tcBorders/>
      </w:tcPr>
    </w:tblStylePr>
    <w:tblStylePr w:type="band1Vert">
      <w:rPr>
        <w:sz w:val="22"/>
      </w:rPr>
      <w:pPr>
        <w:pBdr/>
        <w:spacing/>
        <w:ind/>
      </w:pPr>
      <w:tblPr>
        <w:tblBorders/>
      </w:tblPr>
      <w:tcPr>
        <w:shd w:val="clear" w:color="f2dcdc"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c0504d" w:themeColor="accent2"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c0504d"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0" w:customStyle="1">
    <w:name w:val="Grid Table 2 - Accent 3"/>
    <w:basedOn w:val="892"/>
    <w:uiPriority w:val="99"/>
    <w:pPr>
      <w:pBdr/>
      <w:spacing/>
      <w:ind/>
    </w:pPr>
    <w:tblPr>
      <w:tblBorders>
        <w:bottom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sz w:val="22"/>
      </w:rPr>
      <w:pPr>
        <w:pBdr/>
        <w:spacing/>
        <w:ind/>
      </w:pPr>
      <w:tblPr>
        <w:tblBorders/>
      </w:tblPr>
      <w:tcPr>
        <w:shd w:val="clear" w:color="eaf1dc" w:fill="eaf1dc" w:themeFill="accent3" w:themeFillTint="34"/>
        <w:tcBorders/>
      </w:tcPr>
    </w:tblStylePr>
    <w:tblStylePr w:type="band1Vert">
      <w:rPr>
        <w:sz w:val="22"/>
      </w:rPr>
      <w:pPr>
        <w:pBdr/>
        <w:spacing/>
        <w:ind/>
      </w:pPr>
      <w:tblPr>
        <w:tblBorders/>
      </w:tblPr>
      <w:tcPr>
        <w:shd w:val="clear" w:color="eaf1dc"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9bbb59" w:themeColor="accent3"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9bbb59"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1" w:customStyle="1">
    <w:name w:val="Grid Table 2 - Accent 4"/>
    <w:basedOn w:val="892"/>
    <w:uiPriority w:val="99"/>
    <w:pPr>
      <w:pBdr/>
      <w:spacing/>
      <w:ind/>
    </w:pPr>
    <w:tblPr>
      <w:tblBorders>
        <w:bottom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sz w:val="22"/>
      </w:rPr>
      <w:pPr>
        <w:pBdr/>
        <w:spacing/>
        <w:ind/>
      </w:pPr>
      <w:tblPr>
        <w:tblBorders/>
      </w:tblPr>
      <w:tcPr>
        <w:shd w:val="clear" w:color="e5dfec" w:fill="e5dfec" w:themeFill="accent4" w:themeFillTint="34"/>
        <w:tcBorders/>
      </w:tcPr>
    </w:tblStylePr>
    <w:tblStylePr w:type="band1Vert">
      <w:rPr>
        <w:sz w:val="22"/>
      </w:rPr>
      <w:pPr>
        <w:pBdr/>
        <w:spacing/>
        <w:ind/>
      </w:pPr>
      <w:tblPr>
        <w:tblBorders/>
      </w:tblPr>
      <w:tcPr>
        <w:shd w:val="clear" w:color="e5dfec"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8064a2" w:themeColor="accent4"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8064a2"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2" w:customStyle="1">
    <w:name w:val="Grid Table 2 - Accent 5"/>
    <w:basedOn w:val="892"/>
    <w:uiPriority w:val="99"/>
    <w:pPr>
      <w:pBdr/>
      <w:spacing/>
      <w:ind/>
    </w:pPr>
    <w:tblPr>
      <w:tblBorders>
        <w:bottom w:val="single" w:color="4bacc6" w:themeColor="accent5" w:sz="4" w:space="0"/>
        <w:insideH w:val="single" w:color="4bacc6" w:themeColor="accent5" w:sz="4" w:space="0"/>
        <w:insideV w:val="single" w:color="4bacc6" w:themeColor="accent5" w:sz="4" w:space="0"/>
      </w:tblBorders>
    </w:tblPr>
    <w:tcPr>
      <w:tcBorders/>
    </w:tcPr>
    <w:tblStylePr w:type="band1Horz">
      <w:rPr>
        <w:sz w:val="22"/>
      </w:rPr>
      <w:pPr>
        <w:pBdr/>
        <w:spacing/>
        <w:ind/>
      </w:pPr>
      <w:tblPr>
        <w:tblBorders/>
      </w:tblPr>
      <w:tcPr>
        <w:shd w:val="clear" w:color="daeef3" w:fill="daeef3" w:themeFill="accent5" w:themeFillTint="34"/>
        <w:tcBorders/>
      </w:tcPr>
    </w:tblStylePr>
    <w:tblStylePr w:type="band1Vert">
      <w:rPr>
        <w:sz w:val="22"/>
      </w:rPr>
      <w:pPr>
        <w:pBdr/>
        <w:spacing/>
        <w:ind/>
      </w:pPr>
      <w:tblPr>
        <w:tblBorders/>
      </w:tblPr>
      <w:tcPr>
        <w:shd w:val="clear" w:color="daeef3"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3" w:customStyle="1">
    <w:name w:val="Grid Table 2 - Accent 6"/>
    <w:basedOn w:val="892"/>
    <w:uiPriority w:val="99"/>
    <w:pPr>
      <w:pBdr/>
      <w:spacing/>
      <w:ind/>
    </w:pPr>
    <w:tblPr>
      <w:tblBorders>
        <w:bottom w:val="single" w:color="f79646" w:themeColor="accent6" w:sz="4" w:space="0"/>
        <w:insideH w:val="single" w:color="f79646" w:themeColor="accent6" w:sz="4" w:space="0"/>
        <w:insideV w:val="single" w:color="f79646" w:themeColor="accent6" w:sz="4" w:space="0"/>
      </w:tblBorders>
    </w:tblPr>
    <w:tcPr>
      <w:tcBorders/>
    </w:tcPr>
    <w:tblStylePr w:type="band1Horz">
      <w:rPr>
        <w:sz w:val="22"/>
      </w:rPr>
      <w:pPr>
        <w:pBdr/>
        <w:spacing/>
        <w:ind/>
      </w:pPr>
      <w:tblPr>
        <w:tblBorders/>
      </w:tblPr>
      <w:tcPr>
        <w:shd w:val="clear" w:color="fde9d8" w:fill="fde9d8" w:themeFill="accent6" w:themeFillTint="34"/>
        <w:tcBorders/>
      </w:tcPr>
    </w:tblStylePr>
    <w:tblStylePr w:type="band1Vert">
      <w:rPr>
        <w:sz w:val="22"/>
      </w:rPr>
      <w:pPr>
        <w:pBdr/>
        <w:spacing/>
        <w:ind/>
      </w:pPr>
      <w:tblPr>
        <w:tblBorders/>
      </w:tblPr>
      <w:tcPr>
        <w:shd w:val="clear" w:color="fde9d8"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fill="auto"/>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4" w:customStyle="1">
    <w:name w:val="Tabela de Grade 31"/>
    <w:basedOn w:val="892"/>
    <w:uiPriority w:val="99"/>
    <w:pPr>
      <w:pBdr/>
      <w:spacing/>
      <w:ind/>
    </w:pPr>
    <w:tblPr>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sz w:val="22"/>
      </w:rPr>
      <w:pPr>
        <w:pBdr/>
        <w:spacing/>
        <w:ind/>
      </w:pPr>
      <w:tblPr>
        <w:tblBorders/>
      </w:tblPr>
      <w:tcPr>
        <w:shd w:val="clear" w:color="cbcbcb" w:fill="cbcbcb" w:themeFill="text1" w:themeFillTint="34"/>
        <w:tcBorders/>
      </w:tcPr>
    </w:tblStylePr>
    <w:tblStylePr w:type="band1Vert">
      <w:rPr>
        <w:sz w:val="22"/>
      </w:rPr>
      <w:pPr>
        <w:pBdr/>
        <w:spacing/>
        <w:ind/>
      </w:pPr>
      <w:tblPr>
        <w:tblBorders/>
      </w:tblPr>
      <w:tcPr>
        <w:shd w:val="clear" w:color="cbcbcb"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5" w:customStyle="1">
    <w:name w:val="Grid Table 3 - Accent 1"/>
    <w:basedOn w:val="892"/>
    <w:uiPriority w:val="99"/>
    <w:pPr>
      <w:pBdr/>
      <w:spacing/>
      <w:ind/>
    </w:pPr>
    <w:tblPr>
      <w:tblBorders>
        <w:bottom w:val="single" w:color="5d8ac2" w:themeColor="accent1" w:themeTint="EA" w:sz="4" w:space="0"/>
        <w:insideH w:val="single" w:color="5d8ac2" w:themeColor="accent1" w:themeTint="EA" w:sz="4" w:space="0"/>
        <w:insideV w:val="single" w:color="5d8ac2" w:themeColor="accent1" w:themeTint="EA" w:sz="4" w:space="0"/>
      </w:tblBorders>
    </w:tblPr>
    <w:tcPr>
      <w:tcBorders/>
    </w:tcPr>
    <w:tblStylePr w:type="band1Horz">
      <w:rPr>
        <w:sz w:val="22"/>
      </w:rPr>
      <w:pPr>
        <w:pBdr/>
        <w:spacing/>
        <w:ind/>
      </w:pPr>
      <w:tblPr>
        <w:tblBorders/>
      </w:tblPr>
      <w:tcPr>
        <w:shd w:val="clear" w:color="dae5f1" w:fill="dae5f1" w:themeFill="accent1" w:themeFillTint="34"/>
        <w:tcBorders/>
      </w:tcPr>
    </w:tblStylePr>
    <w:tblStylePr w:type="band1Vert">
      <w:rPr>
        <w:sz w:val="22"/>
      </w:rPr>
      <w:pPr>
        <w:pBdr/>
        <w:spacing/>
        <w:ind/>
      </w:pPr>
      <w:tblPr>
        <w:tblBorders/>
      </w:tblPr>
      <w:tcPr>
        <w:shd w:val="clear" w:color="dae5f1"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6" w:customStyle="1">
    <w:name w:val="Grid Table 3 - Accent 2"/>
    <w:basedOn w:val="892"/>
    <w:uiPriority w:val="99"/>
    <w:pPr>
      <w:pBdr/>
      <w:spacing/>
      <w:ind/>
    </w:pPr>
    <w:tblPr>
      <w:tblBorders>
        <w:bottom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sz w:val="22"/>
      </w:rPr>
      <w:pPr>
        <w:pBdr/>
        <w:spacing/>
        <w:ind/>
      </w:pPr>
      <w:tblPr>
        <w:tblBorders/>
      </w:tblPr>
      <w:tcPr>
        <w:shd w:val="clear" w:color="f2dcdc" w:fill="f2dcdc" w:themeFill="accent2" w:themeFillTint="32"/>
        <w:tcBorders/>
      </w:tcPr>
    </w:tblStylePr>
    <w:tblStylePr w:type="band1Vert">
      <w:rPr>
        <w:sz w:val="22"/>
      </w:rPr>
      <w:pPr>
        <w:pBdr/>
        <w:spacing/>
        <w:ind/>
      </w:pPr>
      <w:tblPr>
        <w:tblBorders/>
      </w:tblPr>
      <w:tcPr>
        <w:shd w:val="clear" w:color="f2dcdc"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7" w:customStyle="1">
    <w:name w:val="Grid Table 3 - Accent 3"/>
    <w:basedOn w:val="892"/>
    <w:uiPriority w:val="99"/>
    <w:pPr>
      <w:pBdr/>
      <w:spacing/>
      <w:ind/>
    </w:pPr>
    <w:tblPr>
      <w:tblBorders>
        <w:bottom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sz w:val="22"/>
      </w:rPr>
      <w:pPr>
        <w:pBdr/>
        <w:spacing/>
        <w:ind/>
      </w:pPr>
      <w:tblPr>
        <w:tblBorders/>
      </w:tblPr>
      <w:tcPr>
        <w:shd w:val="clear" w:color="eaf1dc" w:fill="eaf1dc" w:themeFill="accent3" w:themeFillTint="34"/>
        <w:tcBorders/>
      </w:tcPr>
    </w:tblStylePr>
    <w:tblStylePr w:type="band1Vert">
      <w:rPr>
        <w:sz w:val="22"/>
      </w:rPr>
      <w:pPr>
        <w:pBdr/>
        <w:spacing/>
        <w:ind/>
      </w:pPr>
      <w:tblPr>
        <w:tblBorders/>
      </w:tblPr>
      <w:tcPr>
        <w:shd w:val="clear" w:color="eaf1dc"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8" w:customStyle="1">
    <w:name w:val="Grid Table 3 - Accent 4"/>
    <w:basedOn w:val="892"/>
    <w:uiPriority w:val="99"/>
    <w:pPr>
      <w:pBdr/>
      <w:spacing/>
      <w:ind/>
    </w:pPr>
    <w:tblPr>
      <w:tblBorders>
        <w:bottom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sz w:val="22"/>
      </w:rPr>
      <w:pPr>
        <w:pBdr/>
        <w:spacing/>
        <w:ind/>
      </w:pPr>
      <w:tblPr>
        <w:tblBorders/>
      </w:tblPr>
      <w:tcPr>
        <w:shd w:val="clear" w:color="e5dfec" w:fill="e5dfec" w:themeFill="accent4" w:themeFillTint="34"/>
        <w:tcBorders/>
      </w:tcPr>
    </w:tblStylePr>
    <w:tblStylePr w:type="band1Vert">
      <w:rPr>
        <w:sz w:val="22"/>
      </w:rPr>
      <w:pPr>
        <w:pBdr/>
        <w:spacing/>
        <w:ind/>
      </w:pPr>
      <w:tblPr>
        <w:tblBorders/>
      </w:tblPr>
      <w:tcPr>
        <w:shd w:val="clear" w:color="e5dfec"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9" w:customStyle="1">
    <w:name w:val="Grid Table 3 - Accent 5"/>
    <w:basedOn w:val="892"/>
    <w:uiPriority w:val="99"/>
    <w:pPr>
      <w:pBdr/>
      <w:spacing/>
      <w:ind/>
    </w:pPr>
    <w:tblPr>
      <w:tblBorders>
        <w:bottom w:val="single" w:color="4bacc6" w:themeColor="accent5" w:sz="4" w:space="0"/>
        <w:insideH w:val="single" w:color="4bacc6" w:themeColor="accent5" w:sz="4" w:space="0"/>
        <w:insideV w:val="single" w:color="4bacc6" w:themeColor="accent5" w:sz="4" w:space="0"/>
      </w:tblBorders>
    </w:tblPr>
    <w:tcPr>
      <w:tcBorders/>
    </w:tcPr>
    <w:tblStylePr w:type="band1Horz">
      <w:rPr>
        <w:sz w:val="22"/>
      </w:rPr>
      <w:pPr>
        <w:pBdr/>
        <w:spacing/>
        <w:ind/>
      </w:pPr>
      <w:tblPr>
        <w:tblBorders/>
      </w:tblPr>
      <w:tcPr>
        <w:shd w:val="clear" w:color="daeef3" w:fill="daeef3" w:themeFill="accent5" w:themeFillTint="34"/>
        <w:tcBorders/>
      </w:tcPr>
    </w:tblStylePr>
    <w:tblStylePr w:type="band1Vert">
      <w:rPr>
        <w:sz w:val="22"/>
      </w:rPr>
      <w:pPr>
        <w:pBdr/>
        <w:spacing/>
        <w:ind/>
      </w:pPr>
      <w:tblPr>
        <w:tblBorders/>
      </w:tblPr>
      <w:tcPr>
        <w:shd w:val="clear" w:color="daeef3"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0" w:customStyle="1">
    <w:name w:val="Grid Table 3 - Accent 6"/>
    <w:basedOn w:val="892"/>
    <w:uiPriority w:val="99"/>
    <w:pPr>
      <w:pBdr/>
      <w:spacing/>
      <w:ind/>
    </w:pPr>
    <w:tblPr>
      <w:tblBorders>
        <w:bottom w:val="single" w:color="f79646" w:themeColor="accent6" w:sz="4" w:space="0"/>
        <w:insideH w:val="single" w:color="f79646" w:themeColor="accent6" w:sz="4" w:space="0"/>
        <w:insideV w:val="single" w:color="f79646" w:themeColor="accent6" w:sz="4" w:space="0"/>
      </w:tblBorders>
    </w:tblPr>
    <w:tcPr>
      <w:tcBorders/>
    </w:tcPr>
    <w:tblStylePr w:type="band1Horz">
      <w:rPr>
        <w:sz w:val="22"/>
      </w:rPr>
      <w:pPr>
        <w:pBdr/>
        <w:spacing/>
        <w:ind/>
      </w:pPr>
      <w:tblPr>
        <w:tblBorders/>
      </w:tblPr>
      <w:tcPr>
        <w:shd w:val="clear" w:color="fde9d8" w:fill="fde9d8" w:themeFill="accent6" w:themeFillTint="34"/>
        <w:tcBorders/>
      </w:tcPr>
    </w:tblStylePr>
    <w:tblStylePr w:type="band1Vert">
      <w:rPr>
        <w:sz w:val="22"/>
      </w:rPr>
      <w:pPr>
        <w:pBdr/>
        <w:spacing/>
        <w:ind/>
      </w:pPr>
      <w:tblPr>
        <w:tblBorders/>
      </w:tblPr>
      <w:tcPr>
        <w:shd w:val="clear" w:color="fde9d8"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1" w:customStyle="1">
    <w:name w:val="Tabela de Grade 41"/>
    <w:basedOn w:val="892"/>
    <w:uiPriority w:val="59"/>
    <w:pPr>
      <w:pBdr/>
      <w:spacing/>
      <w:ind/>
    </w:pPr>
    <w:tblPr>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sz w:val="22"/>
      </w:rPr>
      <w:pPr>
        <w:pBdr/>
        <w:spacing/>
        <w:ind/>
      </w:pPr>
      <w:tblPr>
        <w:tblBorders/>
      </w:tblPr>
      <w:tcPr>
        <w:shd w:val="clear" w:color="cbcbcb" w:fill="cbcbcb" w:themeFill="text1" w:themeFillTint="34"/>
        <w:tcBorders/>
      </w:tcPr>
    </w:tblStylePr>
    <w:tblStylePr w:type="band1Vert">
      <w:rPr>
        <w:sz w:val="22"/>
      </w:rPr>
      <w:pPr>
        <w:pBdr/>
        <w:spacing/>
        <w:ind/>
      </w:pPr>
      <w:tblPr>
        <w:tblBorders/>
      </w:tblPr>
      <w:tcPr>
        <w:shd w:val="clear" w:color="cbcbcb"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000000"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2" w:customStyle="1">
    <w:name w:val="Grid Table 4 - Accent 1"/>
    <w:basedOn w:val="892"/>
    <w:uiPriority w:val="59"/>
    <w:pPr>
      <w:pBdr/>
      <w:spacing/>
      <w:ind/>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cPr>
      <w:tcBorders/>
    </w:tcPr>
    <w:tblStylePr w:type="band1Horz">
      <w:rPr>
        <w:sz w:val="22"/>
      </w:rPr>
      <w:pPr>
        <w:pBdr/>
        <w:spacing/>
        <w:ind/>
      </w:pPr>
      <w:tblPr>
        <w:tblBorders/>
      </w:tblPr>
      <w:tcPr>
        <w:shd w:val="clear" w:color="dce6f2" w:fill="dce6f2" w:themeFill="accent1" w:themeFillTint="32"/>
        <w:tcBorders/>
      </w:tcPr>
    </w:tblStylePr>
    <w:tblStylePr w:type="band1Vert">
      <w:rPr>
        <w:sz w:val="22"/>
      </w:rPr>
      <w:pPr>
        <w:pBdr/>
        <w:spacing/>
        <w:ind/>
      </w:pPr>
      <w:tblPr>
        <w:tblBorders/>
      </w:tblPr>
      <w:tcPr>
        <w:shd w:val="clear" w:color="dce6f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5d8ac2" w:fill="5d8ac2" w:themeFill="accent1" w:themeFillTint="EA"/>
        <w:tcBorders>
          <w:top w:val="single" w:color="4f81bd" w:themeColor="accent1" w:sz="4" w:space="0"/>
          <w:left w:val="single" w:color="4f81bd" w:themeColor="accent1" w:sz="4" w:space="0"/>
          <w:bottom w:val="single" w:color="4f81bd" w:themeColor="accent1" w:sz="4" w:space="0"/>
          <w:right w:val="single" w:color="4f81bd" w:themeColor="accen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4f81bd"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3" w:customStyle="1">
    <w:name w:val="Grid Table 4 - Accent 2"/>
    <w:basedOn w:val="892"/>
    <w:uiPriority w:val="59"/>
    <w:pPr>
      <w:pBdr/>
      <w:spacing/>
      <w:ind/>
    </w:pPr>
    <w:tblPr>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cPr>
      <w:tcBorders/>
    </w:tcPr>
    <w:tblStylePr w:type="band1Horz">
      <w:rPr>
        <w:sz w:val="22"/>
      </w:rPr>
      <w:pPr>
        <w:pBdr/>
        <w:spacing/>
        <w:ind/>
      </w:pPr>
      <w:tblPr>
        <w:tblBorders/>
      </w:tblPr>
      <w:tcPr>
        <w:shd w:val="clear" w:color="f2dcdc" w:fill="f2dcdc" w:themeFill="accent2" w:themeFillTint="32"/>
        <w:tcBorders/>
      </w:tcPr>
    </w:tblStylePr>
    <w:tblStylePr w:type="band1Vert">
      <w:rPr>
        <w:sz w:val="22"/>
      </w:rPr>
      <w:pPr>
        <w:pBdr/>
        <w:spacing/>
        <w:ind/>
      </w:pPr>
      <w:tblPr>
        <w:tblBorders/>
      </w:tblPr>
      <w:tcPr>
        <w:shd w:val="clear" w:color="f2dcdc" w:fill="f2dc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d99695" w:fill="d99695" w:themeFill="accent2" w:themeFillTint="97"/>
        <w:tcBorders>
          <w:top w:val="single" w:color="c0504d" w:themeColor="accent2" w:sz="4" w:space="0"/>
          <w:left w:val="single" w:color="c0504d" w:themeColor="accent2" w:sz="4" w:space="0"/>
          <w:bottom w:val="single" w:color="c0504d" w:themeColor="accent2" w:sz="4" w:space="0"/>
          <w:right w:val="single" w:color="c0504d" w:themeColor="accent2"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c0504d"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4" w:customStyle="1">
    <w:name w:val="Grid Table 4 - Accent 3"/>
    <w:basedOn w:val="892"/>
    <w:uiPriority w:val="59"/>
    <w:pPr>
      <w:pBdr/>
      <w:spacing/>
      <w:ind/>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cPr>
      <w:tcBorders/>
    </w:tcPr>
    <w:tblStylePr w:type="band1Horz">
      <w:rPr>
        <w:sz w:val="22"/>
      </w:rPr>
      <w:pPr>
        <w:pBdr/>
        <w:spacing/>
        <w:ind/>
      </w:pPr>
      <w:tblPr>
        <w:tblBorders/>
      </w:tblPr>
      <w:tcPr>
        <w:shd w:val="clear" w:color="eaf1dc" w:fill="eaf1dc" w:themeFill="accent3" w:themeFillTint="34"/>
        <w:tcBorders/>
      </w:tcPr>
    </w:tblStylePr>
    <w:tblStylePr w:type="band1Vert">
      <w:rPr>
        <w:sz w:val="22"/>
      </w:rPr>
      <w:pPr>
        <w:pBdr/>
        <w:spacing/>
        <w:ind/>
      </w:pPr>
      <w:tblPr>
        <w:tblBorders/>
      </w:tblPr>
      <w:tcPr>
        <w:shd w:val="clear" w:color="eaf1dc" w:fill="eaf1d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9abb59" w:fill="9abb59" w:themeFill="accent3" w:themeFillTint="FE"/>
        <w:tcBorders>
          <w:top w:val="single" w:color="9bbb59" w:themeColor="accent3" w:sz="4" w:space="0"/>
          <w:left w:val="single" w:color="9bbb59" w:themeColor="accent3" w:sz="4" w:space="0"/>
          <w:bottom w:val="single" w:color="9bbb59" w:themeColor="accent3" w:sz="4" w:space="0"/>
          <w:right w:val="single" w:color="9bbb59" w:themeColor="accent3"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9bbb59"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5" w:customStyle="1">
    <w:name w:val="Grid Table 4 - Accent 4"/>
    <w:basedOn w:val="892"/>
    <w:uiPriority w:val="59"/>
    <w:pPr>
      <w:pBdr/>
      <w:spacing/>
      <w:ind/>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cPr>
      <w:tcBorders/>
    </w:tcPr>
    <w:tblStylePr w:type="band1Horz">
      <w:rPr>
        <w:sz w:val="22"/>
      </w:rPr>
      <w:pPr>
        <w:pBdr/>
        <w:spacing/>
        <w:ind/>
      </w:pPr>
      <w:tblPr>
        <w:tblBorders/>
      </w:tblPr>
      <w:tcPr>
        <w:shd w:val="clear" w:color="e5dfec" w:fill="e5dfec" w:themeFill="accent4" w:themeFillTint="34"/>
        <w:tcBorders/>
      </w:tcPr>
    </w:tblStylePr>
    <w:tblStylePr w:type="band1Vert">
      <w:rPr>
        <w:sz w:val="22"/>
      </w:rPr>
      <w:pPr>
        <w:pBdr/>
        <w:spacing/>
        <w:ind/>
      </w:pPr>
      <w:tblPr>
        <w:tblBorders/>
      </w:tblPr>
      <w:tcPr>
        <w:shd w:val="clear" w:color="e5dfec"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b2a1c6" w:fill="b2a1c6" w:themeFill="accent4" w:themeFillTint="9A"/>
        <w:tcBorders>
          <w:top w:val="single" w:color="8064a2" w:themeColor="accent4" w:sz="4" w:space="0"/>
          <w:left w:val="single" w:color="8064a2" w:themeColor="accent4" w:sz="4" w:space="0"/>
          <w:bottom w:val="single" w:color="8064a2" w:themeColor="accent4" w:sz="4" w:space="0"/>
          <w:right w:val="single" w:color="8064a2" w:themeColor="accent4"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8064a2"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6" w:customStyle="1">
    <w:name w:val="Grid Table 4 - Accent 5"/>
    <w:basedOn w:val="892"/>
    <w:uiPriority w:val="59"/>
    <w:pPr>
      <w:pBdr/>
      <w:spacing/>
      <w:ind/>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cBorders/>
    </w:tcPr>
    <w:tblStylePr w:type="band1Horz">
      <w:rPr>
        <w:sz w:val="22"/>
      </w:rPr>
      <w:pPr>
        <w:pBdr/>
        <w:spacing/>
        <w:ind/>
      </w:pPr>
      <w:tblPr>
        <w:tblBorders/>
      </w:tblPr>
      <w:tcPr>
        <w:shd w:val="clear" w:color="daeef3" w:fill="daeef3" w:themeFill="accent5" w:themeFillTint="34"/>
        <w:tcBorders/>
      </w:tcPr>
    </w:tblStylePr>
    <w:tblStylePr w:type="band1Vert">
      <w:rPr>
        <w:sz w:val="22"/>
      </w:rPr>
      <w:pPr>
        <w:pBdr/>
        <w:spacing/>
        <w:ind/>
      </w:pPr>
      <w:tblPr>
        <w:tblBorders/>
      </w:tblPr>
      <w:tcPr>
        <w:shd w:val="clear" w:color="daeef3"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4bacc6"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4bacc6"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7" w:customStyle="1">
    <w:name w:val="Grid Table 4 - Accent 6"/>
    <w:basedOn w:val="892"/>
    <w:uiPriority w:val="59"/>
    <w:pPr>
      <w:pBdr/>
      <w:spacing/>
      <w:ind/>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cBorders/>
    </w:tcPr>
    <w:tblStylePr w:type="band1Horz">
      <w:rPr>
        <w:sz w:val="22"/>
      </w:rPr>
      <w:pPr>
        <w:pBdr/>
        <w:spacing/>
        <w:ind/>
      </w:pPr>
      <w:tblPr>
        <w:tblBorders/>
      </w:tblPr>
      <w:tcPr>
        <w:shd w:val="clear" w:color="fde9d8" w:fill="fde9d8" w:themeFill="accent6" w:themeFillTint="34"/>
        <w:tcBorders/>
      </w:tcPr>
    </w:tblStylePr>
    <w:tblStylePr w:type="band1Vert">
      <w:rPr>
        <w:sz w:val="22"/>
      </w:rPr>
      <w:pPr>
        <w:pBdr/>
        <w:spacing/>
        <w:ind/>
      </w:pPr>
      <w:tblPr>
        <w:tblBorders/>
      </w:tblPr>
      <w:tcPr>
        <w:shd w:val="clear" w:color="fde9d8"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7964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f79646"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8" w:customStyle="1">
    <w:name w:val="Tabela de Grade 5 Escura1"/>
    <w:basedOn w:val="892"/>
    <w:uiPriority w:val="99"/>
    <w:pPr>
      <w:pBdr/>
      <w:spacing/>
      <w:ind/>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cBorders/>
    </w:tcPr>
    <w:tblStylePr w:type="band1Horz">
      <w:pPr>
        <w:pBdr/>
        <w:spacing/>
        <w:ind/>
      </w:pPr>
      <w:tblPr>
        <w:tblBorders/>
      </w:tblPr>
      <w:tcPr>
        <w:shd w:val="clear" w:color="8a8a8a" w:fill="8a8a8a" w:themeFill="text1" w:themeFillTint="75"/>
        <w:tcBorders/>
      </w:tcPr>
    </w:tblStylePr>
    <w:tblStylePr w:type="band1Vert">
      <w:pPr>
        <w:pBdr/>
        <w:spacing/>
        <w:ind/>
      </w:pPr>
      <w:tblPr>
        <w:tblBorders/>
      </w:tblPr>
      <w:tcPr>
        <w:shd w:val="clear" w:color="8a8a8a"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000000" w:fill="000000" w:themeFill="text1"/>
        <w:tcBorders/>
      </w:tcPr>
    </w:tblStylePr>
    <w:tblStylePr w:type="firstRow">
      <w:rPr>
        <w:b/>
        <w:sz w:val="22"/>
      </w:rPr>
      <w:pPr>
        <w:pBdr/>
        <w:spacing/>
        <w:ind/>
      </w:pPr>
      <w:tblPr>
        <w:tblBorders/>
      </w:tblPr>
      <w:tcPr>
        <w:shd w:val="clear" w:color="000000" w:fill="000000" w:themeFill="text1"/>
        <w:tcBorders/>
      </w:tcPr>
    </w:tblStylePr>
    <w:tblStylePr w:type="lastCol">
      <w:rPr>
        <w:b/>
        <w:sz w:val="22"/>
      </w:rPr>
      <w:pPr>
        <w:pBdr/>
        <w:spacing/>
        <w:ind/>
      </w:pPr>
      <w:tblPr>
        <w:tblBorders/>
      </w:tblPr>
      <w:tcPr>
        <w:shd w:val="clear" w:color="000000" w:fill="000000" w:themeFill="text1"/>
        <w:tcBorders/>
      </w:tcPr>
    </w:tblStylePr>
    <w:tblStylePr w:type="lastRow">
      <w:rPr>
        <w:b/>
        <w:sz w:val="22"/>
      </w:rPr>
      <w:pPr>
        <w:pBdr/>
        <w:spacing/>
        <w:ind/>
      </w:pPr>
      <w:tblPr>
        <w:tblBorders/>
      </w:tblPr>
      <w:tcPr>
        <w:shd w:val="clear" w:color="000000"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9" w:customStyle="1">
    <w:name w:val="Grid Table 5 Dark- Accent 1"/>
    <w:basedOn w:val="892"/>
    <w:uiPriority w:val="99"/>
    <w:pPr>
      <w:pBdr/>
      <w:spacing/>
      <w:ind/>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cBorders/>
    </w:tcPr>
    <w:tblStylePr w:type="band1Horz">
      <w:pPr>
        <w:pBdr/>
        <w:spacing/>
        <w:ind/>
      </w:pPr>
      <w:tblPr>
        <w:tblBorders/>
      </w:tblPr>
      <w:tcPr>
        <w:shd w:val="clear" w:color="aec4e0" w:fill="aec4e0" w:themeFill="accent1" w:themeFillTint="75"/>
        <w:tcBorders/>
      </w:tcPr>
    </w:tblStylePr>
    <w:tblStylePr w:type="band1Vert">
      <w:pPr>
        <w:pBdr/>
        <w:spacing/>
        <w:ind/>
      </w:pPr>
      <w:tblPr>
        <w:tblBorders/>
      </w:tblPr>
      <w:tcPr>
        <w:shd w:val="clear" w:color="aec4e0" w:fill="aec4e0"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4f81bd" w:fill="4f81bd" w:themeFill="accent1"/>
        <w:tcBorders/>
      </w:tcPr>
    </w:tblStylePr>
    <w:tblStylePr w:type="firstRow">
      <w:rPr>
        <w:b/>
        <w:sz w:val="22"/>
      </w:rPr>
      <w:pPr>
        <w:pBdr/>
        <w:spacing/>
        <w:ind/>
      </w:pPr>
      <w:tblPr>
        <w:tblBorders/>
      </w:tblPr>
      <w:tcPr>
        <w:shd w:val="clear" w:color="4f81bd" w:fill="4f81bd" w:themeFill="accent1"/>
        <w:tcBorders/>
      </w:tcPr>
    </w:tblStylePr>
    <w:tblStylePr w:type="lastCol">
      <w:rPr>
        <w:b/>
        <w:sz w:val="22"/>
      </w:rPr>
      <w:pPr>
        <w:pBdr/>
        <w:spacing/>
        <w:ind/>
      </w:pPr>
      <w:tblPr>
        <w:tblBorders/>
      </w:tblPr>
      <w:tcPr>
        <w:shd w:val="clear" w:color="4f81bd" w:fill="4f81bd" w:themeFill="accent1"/>
        <w:tcBorders/>
      </w:tcPr>
    </w:tblStylePr>
    <w:tblStylePr w:type="lastRow">
      <w:rPr>
        <w:b/>
        <w:sz w:val="22"/>
      </w:rPr>
      <w:pPr>
        <w:pBdr/>
        <w:spacing/>
        <w:ind/>
      </w:pPr>
      <w:tblPr>
        <w:tblBorders/>
      </w:tblPr>
      <w:tcPr>
        <w:shd w:val="clear" w:color="4f81bd" w:fill="4f81bd"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0" w:customStyle="1">
    <w:name w:val="Grid Table 5 Dark - Accent 2"/>
    <w:basedOn w:val="892"/>
    <w:uiPriority w:val="99"/>
    <w:pPr>
      <w:pBdr/>
      <w:spacing/>
      <w:ind/>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cBorders/>
    </w:tcPr>
    <w:tblStylePr w:type="band1Horz">
      <w:pPr>
        <w:pBdr/>
        <w:spacing/>
        <w:ind/>
      </w:pPr>
      <w:tblPr>
        <w:tblBorders/>
      </w:tblPr>
      <w:tcPr>
        <w:shd w:val="clear" w:color="e2aead" w:fill="e2aead" w:themeFill="accent2" w:themeFillTint="75"/>
        <w:tcBorders/>
      </w:tcPr>
    </w:tblStylePr>
    <w:tblStylePr w:type="band1Vert">
      <w:pPr>
        <w:pBdr/>
        <w:spacing/>
        <w:ind/>
      </w:pPr>
      <w:tblPr>
        <w:tblBorders/>
      </w:tblPr>
      <w:tcPr>
        <w:shd w:val="clear" w:color="e2aead" w:fill="e2ae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c0504d" w:fill="c0504d" w:themeFill="accent2"/>
        <w:tcBorders/>
      </w:tcPr>
    </w:tblStylePr>
    <w:tblStylePr w:type="firstRow">
      <w:rPr>
        <w:b/>
        <w:sz w:val="22"/>
      </w:rPr>
      <w:pPr>
        <w:pBdr/>
        <w:spacing/>
        <w:ind/>
      </w:pPr>
      <w:tblPr>
        <w:tblBorders/>
      </w:tblPr>
      <w:tcPr>
        <w:shd w:val="clear" w:color="c0504d" w:fill="c0504d" w:themeFill="accent2"/>
        <w:tcBorders/>
      </w:tcPr>
    </w:tblStylePr>
    <w:tblStylePr w:type="lastCol">
      <w:rPr>
        <w:b/>
        <w:sz w:val="22"/>
      </w:rPr>
      <w:pPr>
        <w:pBdr/>
        <w:spacing/>
        <w:ind/>
      </w:pPr>
      <w:tblPr>
        <w:tblBorders/>
      </w:tblPr>
      <w:tcPr>
        <w:shd w:val="clear" w:color="c0504d" w:fill="c0504d" w:themeFill="accent2"/>
        <w:tcBorders/>
      </w:tcPr>
    </w:tblStylePr>
    <w:tblStylePr w:type="lastRow">
      <w:rPr>
        <w:b/>
        <w:sz w:val="22"/>
      </w:rPr>
      <w:pPr>
        <w:pBdr/>
        <w:spacing/>
        <w:ind/>
      </w:pPr>
      <w:tblPr>
        <w:tblBorders/>
      </w:tblPr>
      <w:tcPr>
        <w:shd w:val="clear" w:color="c0504d" w:fill="c0504d"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1" w:customStyle="1">
    <w:name w:val="Grid Table 5 Dark - Accent 3"/>
    <w:basedOn w:val="892"/>
    <w:uiPriority w:val="99"/>
    <w:pPr>
      <w:pBdr/>
      <w:spacing/>
      <w:ind/>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cBorders/>
    </w:tcPr>
    <w:tblStylePr w:type="band1Horz">
      <w:pPr>
        <w:pBdr/>
        <w:spacing/>
        <w:ind/>
      </w:pPr>
      <w:tblPr>
        <w:tblBorders/>
      </w:tblPr>
      <w:tcPr>
        <w:shd w:val="clear" w:color="d0dfb2" w:fill="d0dfb2" w:themeFill="accent3" w:themeFillTint="75"/>
        <w:tcBorders/>
      </w:tcPr>
    </w:tblStylePr>
    <w:tblStylePr w:type="band1Vert">
      <w:pPr>
        <w:pBdr/>
        <w:spacing/>
        <w:ind/>
      </w:pPr>
      <w:tblPr>
        <w:tblBorders/>
      </w:tblPr>
      <w:tcPr>
        <w:shd w:val="clear" w:color="d0dfb2" w:fill="d0dfb2"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9bbb59" w:fill="9bbb59" w:themeFill="accent3"/>
        <w:tcBorders/>
      </w:tcPr>
    </w:tblStylePr>
    <w:tblStylePr w:type="firstRow">
      <w:rPr>
        <w:b/>
        <w:sz w:val="22"/>
      </w:rPr>
      <w:pPr>
        <w:pBdr/>
        <w:spacing/>
        <w:ind/>
      </w:pPr>
      <w:tblPr>
        <w:tblBorders/>
      </w:tblPr>
      <w:tcPr>
        <w:shd w:val="clear" w:color="9bbb59" w:fill="9bbb59" w:themeFill="accent3"/>
        <w:tcBorders/>
      </w:tcPr>
    </w:tblStylePr>
    <w:tblStylePr w:type="lastCol">
      <w:rPr>
        <w:b/>
        <w:sz w:val="22"/>
      </w:rPr>
      <w:pPr>
        <w:pBdr/>
        <w:spacing/>
        <w:ind/>
      </w:pPr>
      <w:tblPr>
        <w:tblBorders/>
      </w:tblPr>
      <w:tcPr>
        <w:shd w:val="clear" w:color="9bbb59" w:fill="9bbb59" w:themeFill="accent3"/>
        <w:tcBorders/>
      </w:tcPr>
    </w:tblStylePr>
    <w:tblStylePr w:type="lastRow">
      <w:rPr>
        <w:b/>
        <w:sz w:val="22"/>
      </w:rPr>
      <w:pPr>
        <w:pBdr/>
        <w:spacing/>
        <w:ind/>
      </w:pPr>
      <w:tblPr>
        <w:tblBorders/>
      </w:tblPr>
      <w:tcPr>
        <w:shd w:val="clear" w:color="9bbb59" w:fill="9bbb59"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2" w:customStyle="1">
    <w:name w:val="Grid Table 5 Dark- Accent 4"/>
    <w:basedOn w:val="892"/>
    <w:uiPriority w:val="99"/>
    <w:pPr>
      <w:pBdr/>
      <w:spacing/>
      <w:ind/>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cBorders/>
    </w:tcPr>
    <w:tblStylePr w:type="band1Horz">
      <w:pPr>
        <w:pBdr/>
        <w:spacing/>
        <w:ind/>
      </w:pPr>
      <w:tblPr>
        <w:tblBorders/>
      </w:tblPr>
      <w:tcPr>
        <w:shd w:val="clear" w:color="c4b7d4" w:fill="c4b7d4" w:themeFill="accent4" w:themeFillTint="75"/>
        <w:tcBorders/>
      </w:tcPr>
    </w:tblStylePr>
    <w:tblStylePr w:type="band1Vert">
      <w:pPr>
        <w:pBdr/>
        <w:spacing/>
        <w:ind/>
      </w:pPr>
      <w:tblPr>
        <w:tblBorders/>
      </w:tblPr>
      <w:tcPr>
        <w:shd w:val="clear" w:color="c4b7d4" w:fill="c4b7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8064a2" w:fill="8064a2" w:themeFill="accent4"/>
        <w:tcBorders/>
      </w:tcPr>
    </w:tblStylePr>
    <w:tblStylePr w:type="firstRow">
      <w:rPr>
        <w:b/>
        <w:sz w:val="22"/>
      </w:rPr>
      <w:pPr>
        <w:pBdr/>
        <w:spacing/>
        <w:ind/>
      </w:pPr>
      <w:tblPr>
        <w:tblBorders/>
      </w:tblPr>
      <w:tcPr>
        <w:shd w:val="clear" w:color="8064a2" w:fill="8064a2" w:themeFill="accent4"/>
        <w:tcBorders/>
      </w:tcPr>
    </w:tblStylePr>
    <w:tblStylePr w:type="lastCol">
      <w:rPr>
        <w:b/>
        <w:sz w:val="22"/>
      </w:rPr>
      <w:pPr>
        <w:pBdr/>
        <w:spacing/>
        <w:ind/>
      </w:pPr>
      <w:tblPr>
        <w:tblBorders/>
      </w:tblPr>
      <w:tcPr>
        <w:shd w:val="clear" w:color="8064a2" w:fill="8064a2" w:themeFill="accent4"/>
        <w:tcBorders/>
      </w:tcPr>
    </w:tblStylePr>
    <w:tblStylePr w:type="lastRow">
      <w:rPr>
        <w:b/>
        <w:sz w:val="22"/>
      </w:rPr>
      <w:pPr>
        <w:pBdr/>
        <w:spacing/>
        <w:ind/>
      </w:pPr>
      <w:tblPr>
        <w:tblBorders/>
      </w:tblPr>
      <w:tcPr>
        <w:shd w:val="clear" w:color="8064a2" w:fill="8064a2"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3" w:customStyle="1">
    <w:name w:val="Grid Table 5 Dark - Accent 5"/>
    <w:basedOn w:val="892"/>
    <w:uiPriority w:val="99"/>
    <w:pPr>
      <w:pBdr/>
      <w:spacing/>
      <w:ind/>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cBorders/>
    </w:tcPr>
    <w:tblStylePr w:type="band1Horz">
      <w:pPr>
        <w:pBdr/>
        <w:spacing/>
        <w:ind/>
      </w:pPr>
      <w:tblPr>
        <w:tblBorders/>
      </w:tblPr>
      <w:tcPr>
        <w:shd w:val="clear" w:color="acd8e4" w:fill="acd8e4" w:themeFill="accent5" w:themeFillTint="75"/>
        <w:tcBorders/>
      </w:tcPr>
    </w:tblStylePr>
    <w:tblStylePr w:type="band1Vert">
      <w:pPr>
        <w:pBdr/>
        <w:spacing/>
        <w:ind/>
      </w:pPr>
      <w:tblPr>
        <w:tblBorders/>
      </w:tblPr>
      <w:tcPr>
        <w:shd w:val="clear" w:color="acd8e4" w:fill="acd8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4bacc6" w:fill="4bacc6" w:themeFill="accent5"/>
        <w:tcBorders/>
      </w:tcPr>
    </w:tblStylePr>
    <w:tblStylePr w:type="firstRow">
      <w:rPr>
        <w:b/>
        <w:sz w:val="22"/>
      </w:rPr>
      <w:pPr>
        <w:pBdr/>
        <w:spacing/>
        <w:ind/>
      </w:pPr>
      <w:tblPr>
        <w:tblBorders/>
      </w:tblPr>
      <w:tcPr>
        <w:shd w:val="clear" w:color="4bacc6" w:fill="4bacc6" w:themeFill="accent5"/>
        <w:tcBorders/>
      </w:tcPr>
    </w:tblStylePr>
    <w:tblStylePr w:type="lastCol">
      <w:rPr>
        <w:b/>
        <w:sz w:val="22"/>
      </w:rPr>
      <w:pPr>
        <w:pBdr/>
        <w:spacing/>
        <w:ind/>
      </w:pPr>
      <w:tblPr>
        <w:tblBorders/>
      </w:tblPr>
      <w:tcPr>
        <w:shd w:val="clear" w:color="4bacc6" w:fill="4bacc6" w:themeFill="accent5"/>
        <w:tcBorders/>
      </w:tcPr>
    </w:tblStylePr>
    <w:tblStylePr w:type="lastRow">
      <w:rPr>
        <w:b/>
        <w:sz w:val="22"/>
      </w:rPr>
      <w:pPr>
        <w:pBdr/>
        <w:spacing/>
        <w:ind/>
      </w:pPr>
      <w:tblPr>
        <w:tblBorders/>
      </w:tblPr>
      <w:tcPr>
        <w:shd w:val="clear" w:color="4bacc6" w:fill="4bacc6"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4" w:customStyle="1">
    <w:name w:val="Grid Table 5 Dark - Accent 6"/>
    <w:basedOn w:val="892"/>
    <w:uiPriority w:val="99"/>
    <w:pPr>
      <w:pBdr/>
      <w:spacing/>
      <w:ind/>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cPr>
      <w:tcBorders/>
    </w:tcPr>
    <w:tblStylePr w:type="band1Horz">
      <w:pPr>
        <w:pBdr/>
        <w:spacing/>
        <w:ind/>
      </w:pPr>
      <w:tblPr>
        <w:tblBorders/>
      </w:tblPr>
      <w:tcPr>
        <w:shd w:val="clear" w:color="fbceaa" w:fill="fbceaa" w:themeFill="accent6" w:themeFillTint="75"/>
        <w:tcBorders/>
      </w:tcPr>
    </w:tblStylePr>
    <w:tblStylePr w:type="band1Vert">
      <w:pPr>
        <w:pBdr/>
        <w:spacing/>
        <w:ind/>
      </w:pPr>
      <w:tblPr>
        <w:tblBorders/>
      </w:tblPr>
      <w:tcPr>
        <w:shd w:val="clear" w:color="fbceaa" w:fill="fbce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79646" w:fill="f79646" w:themeFill="accent6"/>
        <w:tcBorders/>
      </w:tcPr>
    </w:tblStylePr>
    <w:tblStylePr w:type="firstRow">
      <w:rPr>
        <w:b/>
        <w:sz w:val="22"/>
      </w:rPr>
      <w:pPr>
        <w:pBdr/>
        <w:spacing/>
        <w:ind/>
      </w:pPr>
      <w:tblPr>
        <w:tblBorders/>
      </w:tblPr>
      <w:tcPr>
        <w:shd w:val="clear" w:color="f79646" w:fill="f79646" w:themeFill="accent6"/>
        <w:tcBorders/>
      </w:tcPr>
    </w:tblStylePr>
    <w:tblStylePr w:type="lastCol">
      <w:rPr>
        <w:b/>
        <w:sz w:val="22"/>
      </w:rPr>
      <w:pPr>
        <w:pBdr/>
        <w:spacing/>
        <w:ind/>
      </w:pPr>
      <w:tblPr>
        <w:tblBorders/>
      </w:tblPr>
      <w:tcPr>
        <w:shd w:val="clear" w:color="f79646" w:fill="f79646" w:themeFill="accent6"/>
        <w:tcBorders/>
      </w:tcPr>
    </w:tblStylePr>
    <w:tblStylePr w:type="lastRow">
      <w:rPr>
        <w:b/>
        <w:sz w:val="22"/>
      </w:rPr>
      <w:pPr>
        <w:pBdr/>
        <w:spacing/>
        <w:ind/>
      </w:pPr>
      <w:tblPr>
        <w:tblBorders/>
      </w:tblPr>
      <w:tcPr>
        <w:shd w:val="clear" w:color="f79646" w:fill="f79646"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5" w:customStyle="1">
    <w:name w:val="Tabela de Grade 6 Colorida1"/>
    <w:basedOn w:val="892"/>
    <w:uiPriority w:val="99"/>
    <w:pPr>
      <w:pBdr/>
      <w:spacing/>
      <w:ind/>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color w:val="7f7f7f" w:themeColor="text1" w:themeTint="80"/>
        <w:sz w:val="22"/>
      </w:rPr>
      <w:pPr>
        <w:pBdr/>
        <w:spacing/>
        <w:ind/>
      </w:pPr>
      <w:tblPr>
        <w:tblBorders/>
      </w:tblPr>
      <w:tcPr>
        <w:shd w:val="clear" w:color="cbcbcb" w:fill="cbcbcb" w:themeFill="text1" w:themeFillTint="34"/>
        <w:tcBorders/>
      </w:tcPr>
    </w:tblStylePr>
    <w:tblStylePr w:type="band1Vert">
      <w:pPr>
        <w:pBdr/>
        <w:spacing/>
        <w:ind/>
      </w:pPr>
      <w:tblPr>
        <w:tblBorders/>
      </w:tblPr>
      <w:tcPr>
        <w:shd w:val="clear" w:color="cbcbcb" w:fill="cbcbcb" w:themeFill="text1" w:themeFillTint="34"/>
        <w:tcBorders/>
      </w:tcPr>
    </w:tblStylePr>
    <w:tblStylePr w:type="band2Horz">
      <w:rPr>
        <w:color w:val="7f7f7f" w:themeColor="text1" w:themeTint="80"/>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rPr>
      <w:pPr>
        <w:pBdr/>
        <w:spacing/>
        <w:ind/>
      </w:pPr>
      <w:tblPr>
        <w:tblBorders/>
      </w:tblPr>
      <w:tcPr>
        <w:tcBorders/>
      </w:tcPr>
    </w:tblStylePr>
    <w:tblStylePr w:type="firstRow">
      <w:rPr>
        <w:b/>
        <w:color w:val="7f7f7f" w:themeColor="text1" w:themeTint="80"/>
      </w:rPr>
      <w:pPr>
        <w:pBdr/>
        <w:spacing/>
        <w:ind/>
      </w:pPr>
      <w:tblPr>
        <w:tblBorders/>
      </w:tblPr>
      <w:tcPr>
        <w:tcBorders>
          <w:bottom w:val="single" w:color="000000" w:themeColor="text1" w:sz="12" w:space="0"/>
        </w:tcBorders>
      </w:tcPr>
    </w:tblStylePr>
    <w:tblStylePr w:type="lastCol">
      <w:rPr>
        <w:b/>
        <w:color w:val="7f7f7f" w:themeColor="text1" w:themeTint="80"/>
      </w:rPr>
      <w:pPr>
        <w:pBdr/>
        <w:spacing/>
        <w:ind/>
      </w:pPr>
      <w:tblPr>
        <w:tblBorders/>
      </w:tblPr>
      <w:tcPr>
        <w:tcBorders/>
      </w:tcPr>
    </w:tblStylePr>
    <w:tblStylePr w:type="lastRow">
      <w:rPr>
        <w:b/>
        <w:color w:val="7f7f7f" w:themeColor="text1" w:themeTint="8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6" w:customStyle="1">
    <w:name w:val="Grid Table 6 Colorful - Accent 1"/>
    <w:basedOn w:val="892"/>
    <w:uiPriority w:val="99"/>
    <w:pPr>
      <w:pBdr/>
      <w:spacing/>
      <w:ind/>
    </w:pPr>
    <w:tblPr>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cBorders/>
    </w:tcPr>
    <w:tblStylePr w:type="band1Horz">
      <w:rPr>
        <w:color w:val="a6bfdd" w:themeColor="accent1" w:themeTint="80"/>
        <w:sz w:val="22"/>
      </w:rPr>
      <w:pPr>
        <w:pBdr/>
        <w:spacing/>
        <w:ind/>
      </w:pPr>
      <w:tblPr>
        <w:tblBorders/>
      </w:tblPr>
      <w:tcPr>
        <w:shd w:val="clear" w:color="dae5f1" w:fill="dae5f1" w:themeFill="accent1" w:themeFillTint="34"/>
        <w:tcBorders/>
      </w:tcPr>
    </w:tblStylePr>
    <w:tblStylePr w:type="band1Vert">
      <w:pPr>
        <w:pBdr/>
        <w:spacing/>
        <w:ind/>
      </w:pPr>
      <w:tblPr>
        <w:tblBorders/>
      </w:tblPr>
      <w:tcPr>
        <w:shd w:val="clear" w:color="dae5f1" w:fill="dae5f1" w:themeFill="accent1" w:themeFillTint="34"/>
        <w:tcBorders/>
      </w:tcPr>
    </w:tblStylePr>
    <w:tblStylePr w:type="band2Horz">
      <w:rPr>
        <w:color w:val="a6bfdd" w:themeColor="accent1" w:themeTint="80"/>
        <w:sz w:val="22"/>
      </w:rPr>
      <w:pPr>
        <w:pBdr/>
        <w:spacing/>
        <w:ind/>
      </w:pPr>
      <w:tblPr>
        <w:tblBorders/>
      </w:tblPr>
      <w:tcPr>
        <w:tcBorders/>
      </w:tcPr>
    </w:tblStylePr>
    <w:tblStylePr w:type="band2Vert">
      <w:pPr>
        <w:pBdr/>
        <w:spacing/>
        <w:ind/>
      </w:pPr>
      <w:tblPr>
        <w:tblBorders/>
      </w:tblPr>
      <w:tcPr>
        <w:tcBorders/>
      </w:tcPr>
    </w:tblStylePr>
    <w:tblStylePr w:type="firstCol">
      <w:rPr>
        <w:b/>
        <w:color w:val="a6bfdd" w:themeColor="accent1" w:themeTint="80"/>
      </w:rPr>
      <w:pPr>
        <w:pBdr/>
        <w:spacing/>
        <w:ind/>
      </w:pPr>
      <w:tblPr>
        <w:tblBorders/>
      </w:tblPr>
      <w:tcPr>
        <w:tcBorders/>
      </w:tcPr>
    </w:tblStylePr>
    <w:tblStylePr w:type="firstRow">
      <w:rPr>
        <w:b/>
        <w:color w:val="a6bfdd" w:themeColor="accent1" w:themeTint="80"/>
      </w:rPr>
      <w:pPr>
        <w:pBdr/>
        <w:spacing/>
        <w:ind/>
      </w:pPr>
      <w:tblPr>
        <w:tblBorders/>
      </w:tblPr>
      <w:tcPr>
        <w:tcBorders>
          <w:bottom w:val="single" w:color="4f81bd" w:themeColor="accent1" w:sz="12" w:space="0"/>
        </w:tcBorders>
      </w:tcPr>
    </w:tblStylePr>
    <w:tblStylePr w:type="lastCol">
      <w:rPr>
        <w:b/>
        <w:color w:val="a6bfdd" w:themeColor="accent1" w:themeTint="80"/>
      </w:rPr>
      <w:pPr>
        <w:pBdr/>
        <w:spacing/>
        <w:ind/>
      </w:pPr>
      <w:tblPr>
        <w:tblBorders/>
      </w:tblPr>
      <w:tcPr>
        <w:tcBorders/>
      </w:tcPr>
    </w:tblStylePr>
    <w:tblStylePr w:type="lastRow">
      <w:rPr>
        <w:b/>
        <w:color w:val="a6bfdd" w:themeColor="accent1" w:themeTint="8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7" w:customStyle="1">
    <w:name w:val="Grid Table 6 Colorful - Accent 2"/>
    <w:basedOn w:val="892"/>
    <w:uiPriority w:val="99"/>
    <w:pPr>
      <w:pBdr/>
      <w:spacing/>
      <w:ind/>
    </w:pPr>
    <w:tblPr>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color w:val="da9796" w:themeColor="accent2" w:themeTint="96"/>
        <w:sz w:val="22"/>
      </w:rPr>
      <w:pPr>
        <w:pBdr/>
        <w:spacing/>
        <w:ind/>
      </w:pPr>
      <w:tblPr>
        <w:tblBorders/>
      </w:tblPr>
      <w:tcPr>
        <w:shd w:val="clear" w:color="f2dcdc" w:fill="f2dcdc" w:themeFill="accent2" w:themeFillTint="32"/>
        <w:tcBorders/>
      </w:tcPr>
    </w:tblStylePr>
    <w:tblStylePr w:type="band1Vert">
      <w:pPr>
        <w:pBdr/>
        <w:spacing/>
        <w:ind/>
      </w:pPr>
      <w:tblPr>
        <w:tblBorders/>
      </w:tblPr>
      <w:tcPr>
        <w:shd w:val="clear" w:color="f2dcdc" w:fill="f2dcdc" w:themeFill="accent2" w:themeFillTint="32"/>
        <w:tcBorders/>
      </w:tcPr>
    </w:tblStylePr>
    <w:tblStylePr w:type="band2Horz">
      <w:rPr>
        <w:color w:val="da9796" w:themeColor="accent2" w:themeTint="96"/>
        <w:sz w:val="22"/>
      </w:rPr>
      <w:pPr>
        <w:pBdr/>
        <w:spacing/>
        <w:ind/>
      </w:pPr>
      <w:tblPr>
        <w:tblBorders/>
      </w:tblPr>
      <w:tcPr>
        <w:tcBorders/>
      </w:tcPr>
    </w:tblStylePr>
    <w:tblStylePr w:type="band2Vert">
      <w:pPr>
        <w:pBdr/>
        <w:spacing/>
        <w:ind/>
      </w:pPr>
      <w:tblPr>
        <w:tblBorders/>
      </w:tblPr>
      <w:tcPr>
        <w:tcBorders/>
      </w:tcPr>
    </w:tblStylePr>
    <w:tblStylePr w:type="firstCol">
      <w:rPr>
        <w:b/>
        <w:color w:val="da9796" w:themeColor="accent2" w:themeTint="96"/>
      </w:rPr>
      <w:pPr>
        <w:pBdr/>
        <w:spacing/>
        <w:ind/>
      </w:pPr>
      <w:tblPr>
        <w:tblBorders/>
      </w:tblPr>
      <w:tcPr>
        <w:tcBorders/>
      </w:tcPr>
    </w:tblStylePr>
    <w:tblStylePr w:type="firstRow">
      <w:rPr>
        <w:b/>
        <w:color w:val="da9796" w:themeColor="accent2" w:themeTint="96"/>
      </w:rPr>
      <w:pPr>
        <w:pBdr/>
        <w:spacing/>
        <w:ind/>
      </w:pPr>
      <w:tblPr>
        <w:tblBorders/>
      </w:tblPr>
      <w:tcPr>
        <w:tcBorders>
          <w:bottom w:val="single" w:color="c0504d" w:themeColor="accent2" w:sz="12" w:space="0"/>
        </w:tcBorders>
      </w:tcPr>
    </w:tblStylePr>
    <w:tblStylePr w:type="lastCol">
      <w:rPr>
        <w:b/>
        <w:color w:val="da9796" w:themeColor="accent2" w:themeTint="96"/>
      </w:rPr>
      <w:pPr>
        <w:pBdr/>
        <w:spacing/>
        <w:ind/>
      </w:pPr>
      <w:tblPr>
        <w:tblBorders/>
      </w:tblPr>
      <w:tcPr>
        <w:tcBorders/>
      </w:tcPr>
    </w:tblStylePr>
    <w:tblStylePr w:type="lastRow">
      <w:rPr>
        <w:b/>
        <w:color w:val="da9796" w:themeColor="accent2" w:themeTint="96"/>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8" w:customStyle="1">
    <w:name w:val="Grid Table 6 Colorful - Accent 3"/>
    <w:basedOn w:val="892"/>
    <w:uiPriority w:val="99"/>
    <w:pPr>
      <w:pBdr/>
      <w:spacing/>
      <w:ind/>
    </w:pPr>
    <w:tblPr>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color w:val="9bbb59" w:themeColor="accent3"/>
        <w:sz w:val="22"/>
      </w:rPr>
      <w:pPr>
        <w:pBdr/>
        <w:spacing/>
        <w:ind/>
      </w:pPr>
      <w:tblPr>
        <w:tblBorders/>
      </w:tblPr>
      <w:tcPr>
        <w:shd w:val="clear" w:color="eaf1dc" w:fill="eaf1dc" w:themeFill="accent3" w:themeFillTint="34"/>
        <w:tcBorders/>
      </w:tcPr>
    </w:tblStylePr>
    <w:tblStylePr w:type="band1Vert">
      <w:pPr>
        <w:pBdr/>
        <w:spacing/>
        <w:ind/>
      </w:pPr>
      <w:tblPr>
        <w:tblBorders/>
      </w:tblPr>
      <w:tcPr>
        <w:shd w:val="clear" w:color="eaf1dc" w:fill="eaf1dc" w:themeFill="accent3" w:themeFillTint="34"/>
        <w:tcBorders/>
      </w:tcPr>
    </w:tblStylePr>
    <w:tblStylePr w:type="band2Horz">
      <w:rPr>
        <w:color w:val="9bbb59" w:themeColor="accent3"/>
        <w:sz w:val="22"/>
      </w:rPr>
      <w:pPr>
        <w:pBdr/>
        <w:spacing/>
        <w:ind/>
      </w:pPr>
      <w:tblPr>
        <w:tblBorders/>
      </w:tblPr>
      <w:tcPr>
        <w:tcBorders/>
      </w:tcPr>
    </w:tblStylePr>
    <w:tblStylePr w:type="band2Vert">
      <w:pPr>
        <w:pBdr/>
        <w:spacing/>
        <w:ind/>
      </w:pPr>
      <w:tblPr>
        <w:tblBorders/>
      </w:tblPr>
      <w:tcPr>
        <w:tcBorders/>
      </w:tcPr>
    </w:tblStylePr>
    <w:tblStylePr w:type="firstCol">
      <w:rPr>
        <w:b/>
        <w:color w:val="9bbb59" w:themeColor="accent3"/>
      </w:rPr>
      <w:pPr>
        <w:pBdr/>
        <w:spacing/>
        <w:ind/>
      </w:pPr>
      <w:tblPr>
        <w:tblBorders/>
      </w:tblPr>
      <w:tcPr>
        <w:tcBorders/>
      </w:tcPr>
    </w:tblStylePr>
    <w:tblStylePr w:type="firstRow">
      <w:rPr>
        <w:b/>
        <w:color w:val="9bbb59" w:themeColor="accent3"/>
      </w:rPr>
      <w:pPr>
        <w:pBdr/>
        <w:spacing/>
        <w:ind/>
      </w:pPr>
      <w:tblPr>
        <w:tblBorders/>
      </w:tblPr>
      <w:tcPr>
        <w:tcBorders>
          <w:bottom w:val="single" w:color="9bbb59" w:themeColor="accent3" w:sz="12" w:space="0"/>
        </w:tcBorders>
      </w:tcPr>
    </w:tblStylePr>
    <w:tblStylePr w:type="lastCol">
      <w:rPr>
        <w:b/>
        <w:color w:val="9bbb59" w:themeColor="accent3"/>
      </w:rPr>
      <w:pPr>
        <w:pBdr/>
        <w:spacing/>
        <w:ind/>
      </w:pPr>
      <w:tblPr>
        <w:tblBorders/>
      </w:tblPr>
      <w:tcPr>
        <w:tcBorders/>
      </w:tcPr>
    </w:tblStylePr>
    <w:tblStylePr w:type="lastRow">
      <w:rPr>
        <w:b/>
        <w:color w:val="9bbb59" w:themeColor="accent3"/>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9" w:customStyle="1">
    <w:name w:val="Grid Table 6 Colorful - Accent 4"/>
    <w:basedOn w:val="892"/>
    <w:uiPriority w:val="99"/>
    <w:pPr>
      <w:pBdr/>
      <w:spacing/>
      <w:ind/>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color w:val="b2a1c7" w:themeColor="accent4" w:themeTint="99"/>
        <w:sz w:val="22"/>
      </w:rPr>
      <w:pPr>
        <w:pBdr/>
        <w:spacing/>
        <w:ind/>
      </w:pPr>
      <w:tblPr>
        <w:tblBorders/>
      </w:tblPr>
      <w:tcPr>
        <w:shd w:val="clear" w:color="e5dfec" w:fill="e5dfec" w:themeFill="accent4" w:themeFillTint="34"/>
        <w:tcBorders/>
      </w:tcPr>
    </w:tblStylePr>
    <w:tblStylePr w:type="band1Vert">
      <w:pPr>
        <w:pBdr/>
        <w:spacing/>
        <w:ind/>
      </w:pPr>
      <w:tblPr>
        <w:tblBorders/>
      </w:tblPr>
      <w:tcPr>
        <w:shd w:val="clear" w:color="e5dfec" w:fill="e5dfec" w:themeFill="accent4" w:themeFillTint="34"/>
        <w:tcBorders/>
      </w:tcPr>
    </w:tblStylePr>
    <w:tblStylePr w:type="band2Horz">
      <w:rPr>
        <w:color w:val="b2a1c7" w:themeColor="accent4" w:themeTint="99"/>
        <w:sz w:val="22"/>
      </w:rPr>
      <w:pPr>
        <w:pBdr/>
        <w:spacing/>
        <w:ind/>
      </w:pPr>
      <w:tblPr>
        <w:tblBorders/>
      </w:tblPr>
      <w:tcPr>
        <w:tcBorders/>
      </w:tcPr>
    </w:tblStylePr>
    <w:tblStylePr w:type="band2Vert">
      <w:pPr>
        <w:pBdr/>
        <w:spacing/>
        <w:ind/>
      </w:pPr>
      <w:tblPr>
        <w:tblBorders/>
      </w:tblPr>
      <w:tcPr>
        <w:tcBorders/>
      </w:tcPr>
    </w:tblStylePr>
    <w:tblStylePr w:type="firstCol">
      <w:rPr>
        <w:b/>
        <w:color w:val="b2a1c7" w:themeColor="accent4" w:themeTint="99"/>
      </w:rPr>
      <w:pPr>
        <w:pBdr/>
        <w:spacing/>
        <w:ind/>
      </w:pPr>
      <w:tblPr>
        <w:tblBorders/>
      </w:tblPr>
      <w:tcPr>
        <w:tcBorders/>
      </w:tcPr>
    </w:tblStylePr>
    <w:tblStylePr w:type="firstRow">
      <w:rPr>
        <w:b/>
        <w:color w:val="b2a1c7" w:themeColor="accent4" w:themeTint="99"/>
      </w:rPr>
      <w:pPr>
        <w:pBdr/>
        <w:spacing/>
        <w:ind/>
      </w:pPr>
      <w:tblPr>
        <w:tblBorders/>
      </w:tblPr>
      <w:tcPr>
        <w:tcBorders>
          <w:bottom w:val="single" w:color="8064a2" w:themeColor="accent4" w:sz="12" w:space="0"/>
        </w:tcBorders>
      </w:tcPr>
    </w:tblStylePr>
    <w:tblStylePr w:type="lastCol">
      <w:rPr>
        <w:b/>
        <w:color w:val="b2a1c7" w:themeColor="accent4" w:themeTint="99"/>
      </w:rPr>
      <w:pPr>
        <w:pBdr/>
        <w:spacing/>
        <w:ind/>
      </w:pPr>
      <w:tblPr>
        <w:tblBorders/>
      </w:tblPr>
      <w:tcPr>
        <w:tcBorders/>
      </w:tcPr>
    </w:tblStylePr>
    <w:tblStylePr w:type="lastRow">
      <w:rPr>
        <w:b/>
        <w:color w:val="b2a1c7" w:themeColor="accent4" w:themeTint="99"/>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0" w:customStyle="1">
    <w:name w:val="Grid Table 6 Colorful - Accent 5"/>
    <w:basedOn w:val="892"/>
    <w:uiPriority w:val="99"/>
    <w:pPr>
      <w:pBdr/>
      <w:spacing/>
      <w:ind/>
    </w:pPr>
    <w:tblPr>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cPr>
      <w:tcBorders/>
    </w:tcPr>
    <w:tblStylePr w:type="band1Horz">
      <w:rPr>
        <w:color w:val="266678" w:themeColor="accent5" w:themeShade="94"/>
        <w:sz w:val="22"/>
      </w:rPr>
      <w:pPr>
        <w:pBdr/>
        <w:spacing/>
        <w:ind/>
      </w:pPr>
      <w:tblPr>
        <w:tblBorders/>
      </w:tblPr>
      <w:tcPr>
        <w:shd w:val="clear" w:color="daeef3" w:fill="daeef3" w:themeFill="accent5" w:themeFillTint="34"/>
        <w:tcBorders/>
      </w:tcPr>
    </w:tblStylePr>
    <w:tblStylePr w:type="band1Vert">
      <w:pPr>
        <w:pBdr/>
        <w:spacing/>
        <w:ind/>
      </w:pPr>
      <w:tblPr>
        <w:tblBorders/>
      </w:tblPr>
      <w:tcPr>
        <w:shd w:val="clear" w:color="daeef3" w:fill="daeef3" w:themeFill="accent5" w:themeFillTint="34"/>
        <w:tcBorders/>
      </w:tcPr>
    </w:tblStylePr>
    <w:tblStylePr w:type="band2Horz">
      <w:rPr>
        <w:color w:val="266678" w:themeColor="accent5" w:themeShade="94"/>
        <w:sz w:val="22"/>
      </w:rPr>
      <w:pPr>
        <w:pBdr/>
        <w:spacing/>
        <w:ind/>
      </w:pPr>
      <w:tblPr>
        <w:tblBorders/>
      </w:tblPr>
      <w:tcPr>
        <w:tcBorders/>
      </w:tcPr>
    </w:tblStylePr>
    <w:tblStylePr w:type="band2Vert">
      <w:pPr>
        <w:pBdr/>
        <w:spacing/>
        <w:ind/>
      </w:pPr>
      <w:tblPr>
        <w:tblBorders/>
      </w:tblPr>
      <w:tcPr>
        <w:tcBorders/>
      </w:tcPr>
    </w:tblStylePr>
    <w:tblStylePr w:type="firstCol">
      <w:rPr>
        <w:b/>
        <w:color w:val="266678" w:themeColor="accent5" w:themeShade="94"/>
      </w:rPr>
      <w:pPr>
        <w:pBdr/>
        <w:spacing/>
        <w:ind/>
      </w:pPr>
      <w:tblPr>
        <w:tblBorders/>
      </w:tblPr>
      <w:tcPr>
        <w:tcBorders/>
      </w:tcPr>
    </w:tblStylePr>
    <w:tblStylePr w:type="firstRow">
      <w:rPr>
        <w:b/>
        <w:color w:val="266678" w:themeColor="accent5" w:themeShade="94"/>
      </w:rPr>
      <w:pPr>
        <w:pBdr/>
        <w:spacing/>
        <w:ind/>
      </w:pPr>
      <w:tblPr>
        <w:tblBorders/>
      </w:tblPr>
      <w:tcPr>
        <w:tcBorders>
          <w:bottom w:val="single" w:color="4bacc6" w:themeColor="accent5" w:sz="12" w:space="0"/>
        </w:tcBorders>
      </w:tcPr>
    </w:tblStylePr>
    <w:tblStylePr w:type="lastCol">
      <w:rPr>
        <w:b/>
        <w:color w:val="266678" w:themeColor="accent5" w:themeShade="94"/>
      </w:rPr>
      <w:pPr>
        <w:pBdr/>
        <w:spacing/>
        <w:ind/>
      </w:pPr>
      <w:tblPr>
        <w:tblBorders/>
      </w:tblPr>
      <w:tcPr>
        <w:tcBorders/>
      </w:tcPr>
    </w:tblStylePr>
    <w:tblStylePr w:type="lastRow">
      <w:rPr>
        <w:b/>
        <w:color w:val="266678" w:themeColor="accent5" w:themeShade="94"/>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1" w:customStyle="1">
    <w:name w:val="Grid Table 6 Colorful - Accent 6"/>
    <w:basedOn w:val="892"/>
    <w:uiPriority w:val="99"/>
    <w:pPr>
      <w:pBdr/>
      <w:spacing/>
      <w:ind/>
    </w:pPr>
    <w:tblPr>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cPr>
      <w:tcBorders/>
    </w:tcPr>
    <w:tblStylePr w:type="band1Horz">
      <w:rPr>
        <w:color w:val="266678" w:themeColor="accent5" w:themeShade="94"/>
        <w:sz w:val="22"/>
      </w:rPr>
      <w:pPr>
        <w:pBdr/>
        <w:spacing/>
        <w:ind/>
      </w:pPr>
      <w:tblPr>
        <w:tblBorders/>
      </w:tblPr>
      <w:tcPr>
        <w:shd w:val="clear" w:color="fde9d8" w:fill="fde9d8" w:themeFill="accent6" w:themeFillTint="34"/>
        <w:tcBorders/>
      </w:tcPr>
    </w:tblStylePr>
    <w:tblStylePr w:type="band1Vert">
      <w:pPr>
        <w:pBdr/>
        <w:spacing/>
        <w:ind/>
      </w:pPr>
      <w:tblPr>
        <w:tblBorders/>
      </w:tblPr>
      <w:tcPr>
        <w:shd w:val="clear" w:color="fde9d8" w:fill="fde9d8" w:themeFill="accent6" w:themeFillTint="34"/>
        <w:tcBorders/>
      </w:tcPr>
    </w:tblStylePr>
    <w:tblStylePr w:type="band2Horz">
      <w:rPr>
        <w:color w:val="266678" w:themeColor="accent5" w:themeShade="94"/>
        <w:sz w:val="22"/>
      </w:rPr>
      <w:pPr>
        <w:pBdr/>
        <w:spacing/>
        <w:ind/>
      </w:pPr>
      <w:tblPr>
        <w:tblBorders/>
      </w:tblPr>
      <w:tcPr>
        <w:tcBorders/>
      </w:tcPr>
    </w:tblStylePr>
    <w:tblStylePr w:type="band2Vert">
      <w:pPr>
        <w:pBdr/>
        <w:spacing/>
        <w:ind/>
      </w:pPr>
      <w:tblPr>
        <w:tblBorders/>
      </w:tblPr>
      <w:tcPr>
        <w:tcBorders/>
      </w:tcPr>
    </w:tblStylePr>
    <w:tblStylePr w:type="firstCol">
      <w:rPr>
        <w:b/>
        <w:color w:val="266678" w:themeColor="accent5" w:themeShade="94"/>
      </w:rPr>
      <w:pPr>
        <w:pBdr/>
        <w:spacing/>
        <w:ind/>
      </w:pPr>
      <w:tblPr>
        <w:tblBorders/>
      </w:tblPr>
      <w:tcPr>
        <w:tcBorders/>
      </w:tcPr>
    </w:tblStylePr>
    <w:tblStylePr w:type="firstRow">
      <w:rPr>
        <w:b/>
        <w:color w:val="266678" w:themeColor="accent5" w:themeShade="94"/>
      </w:rPr>
      <w:pPr>
        <w:pBdr/>
        <w:spacing/>
        <w:ind/>
      </w:pPr>
      <w:tblPr>
        <w:tblBorders/>
      </w:tblPr>
      <w:tcPr>
        <w:tcBorders>
          <w:bottom w:val="single" w:color="f79646" w:themeColor="accent6" w:sz="12" w:space="0"/>
        </w:tcBorders>
      </w:tcPr>
    </w:tblStylePr>
    <w:tblStylePr w:type="lastCol">
      <w:rPr>
        <w:b/>
        <w:color w:val="266678" w:themeColor="accent5" w:themeShade="94"/>
      </w:rPr>
      <w:pPr>
        <w:pBdr/>
        <w:spacing/>
        <w:ind/>
      </w:pPr>
      <w:tblPr>
        <w:tblBorders/>
      </w:tblPr>
      <w:tcPr>
        <w:tcBorders/>
      </w:tcPr>
    </w:tblStylePr>
    <w:tblStylePr w:type="lastRow">
      <w:rPr>
        <w:b/>
        <w:color w:val="266678" w:themeColor="accent5" w:themeShade="94"/>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2" w:customStyle="1">
    <w:name w:val="Tabela de Grade 7 Colorida1"/>
    <w:basedOn w:val="892"/>
    <w:uiPriority w:val="99"/>
    <w:pPr>
      <w:pBdr/>
      <w:spacing/>
      <w:ind/>
    </w:pPr>
    <w:tblPr>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color w:val="7f7f7f" w:themeColor="text1" w:themeTint="80"/>
        <w:sz w:val="22"/>
      </w:rPr>
      <w:pPr>
        <w:pBdr/>
        <w:spacing/>
        <w:ind/>
      </w:pPr>
      <w:tblPr>
        <w:tblBorders/>
      </w:tblPr>
      <w:tcPr>
        <w:shd w:val="clear" w:color="f2f2f2" w:fill="f2f2f2" w:themeFill="text1" w:themeFillTint="0D"/>
        <w:tcBorders/>
      </w:tcPr>
    </w:tblStylePr>
    <w:tblStylePr w:type="band1Vert">
      <w:pPr>
        <w:pBdr/>
        <w:spacing/>
        <w:ind/>
      </w:pPr>
      <w:tblPr>
        <w:tblBorders/>
      </w:tblPr>
      <w:tcPr>
        <w:shd w:val="clear" w:color="f2f2f2" w:fill="f2f2f2" w:themeFill="text1" w:themeFillTint="0D"/>
        <w:tcBorders/>
      </w:tcPr>
    </w:tblStylePr>
    <w:tblStylePr w:type="band2Horz">
      <w:rPr>
        <w:color w:val="7f7f7f" w:themeColor="text1" w:themeTint="80"/>
        <w:sz w:val="22"/>
      </w:rPr>
      <w:pPr>
        <w:pBdr/>
        <w:spacing/>
        <w:ind/>
      </w:pPr>
      <w:tblPr>
        <w:tblBorders/>
      </w:tblPr>
      <w:tcPr>
        <w:tcBorders/>
      </w:tcPr>
    </w:tblStylePr>
    <w:tblStylePr w:type="band2Vert">
      <w:pPr>
        <w:pBdr/>
        <w:spacing/>
        <w:ind/>
      </w:pPr>
      <w:tblPr>
        <w:tblBorders/>
      </w:tblPr>
      <w:tcPr>
        <w:tcBorders/>
      </w:tcPr>
    </w:tblStylePr>
    <w:tblStylePr w:type="firstCol">
      <w:rPr>
        <w:i/>
        <w:color w:val="7f7f7f" w:themeColor="text1" w:themeTint="80"/>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000000" w:themeColor="text1" w:sz="4" w:space="0"/>
        </w:tcBorders>
      </w:tcPr>
    </w:tblStylePr>
    <w:tblStylePr w:type="firstRow">
      <w:rPr>
        <w:b/>
        <w:color w:val="7f7f7f" w:themeColor="text1" w:themeTint="80"/>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7f7f7f" w:themeColor="text1" w:themeTint="80"/>
        <w:sz w:val="22"/>
      </w:rPr>
      <w:pPr>
        <w:pBdr/>
        <w:spacing/>
        <w:ind/>
      </w:pPr>
      <w:tblPr>
        <w:tblBorders/>
      </w:tblPr>
      <w:tcPr>
        <w:shd w:val="clear" w:color="ffffff" w:fill="auto"/>
        <w:tcBorders>
          <w:top w:val="none" w:color="000000" w:sz="4" w:space="0"/>
          <w:left w:val="single" w:color="000000" w:themeColor="text1" w:sz="4" w:space="0"/>
          <w:bottom w:val="none" w:color="000000" w:sz="4" w:space="0"/>
          <w:right w:val="none" w:color="000000" w:sz="4" w:space="0"/>
        </w:tcBorders>
      </w:tcPr>
    </w:tblStylePr>
    <w:tblStylePr w:type="lastRow">
      <w:rPr>
        <w:b/>
        <w:color w:val="7f7f7f" w:themeColor="text1" w:themeTint="80"/>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3" w:customStyle="1">
    <w:name w:val="Grid Table 7 Colorful - Accent 1"/>
    <w:basedOn w:val="892"/>
    <w:uiPriority w:val="99"/>
    <w:pPr>
      <w:pBdr/>
      <w:spacing/>
      <w:ind/>
    </w:pPr>
    <w:tblPr>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cPr>
      <w:tcBorders/>
    </w:tcPr>
    <w:tblStylePr w:type="band1Horz">
      <w:rPr>
        <w:color w:val="a6bfdd" w:themeColor="accent1" w:themeTint="80"/>
        <w:sz w:val="22"/>
      </w:rPr>
      <w:pPr>
        <w:pBdr/>
        <w:spacing/>
        <w:ind/>
      </w:pPr>
      <w:tblPr>
        <w:tblBorders/>
      </w:tblPr>
      <w:tcPr>
        <w:shd w:val="clear" w:color="dae5f1" w:fill="dae5f1" w:themeFill="accent1" w:themeFillTint="34"/>
        <w:tcBorders/>
      </w:tcPr>
    </w:tblStylePr>
    <w:tblStylePr w:type="band1Vert">
      <w:pPr>
        <w:pBdr/>
        <w:spacing/>
        <w:ind/>
      </w:pPr>
      <w:tblPr>
        <w:tblBorders/>
      </w:tblPr>
      <w:tcPr>
        <w:shd w:val="clear" w:color="dae5f1" w:fill="dae5f1" w:themeFill="accent1" w:themeFillTint="34"/>
        <w:tcBorders/>
      </w:tcPr>
    </w:tblStylePr>
    <w:tblStylePr w:type="band2Horz">
      <w:rPr>
        <w:color w:val="a6bfdd" w:themeColor="accent1" w:themeTint="80"/>
        <w:sz w:val="22"/>
      </w:rPr>
      <w:pPr>
        <w:pBdr/>
        <w:spacing/>
        <w:ind/>
      </w:pPr>
      <w:tblPr>
        <w:tblBorders/>
      </w:tblPr>
      <w:tcPr>
        <w:tcBorders/>
      </w:tcPr>
    </w:tblStylePr>
    <w:tblStylePr w:type="band2Vert">
      <w:pPr>
        <w:pBdr/>
        <w:spacing/>
        <w:ind/>
      </w:pPr>
      <w:tblPr>
        <w:tblBorders/>
      </w:tblPr>
      <w:tcPr>
        <w:tcBorders/>
      </w:tcPr>
    </w:tblStylePr>
    <w:tblStylePr w:type="firstCol">
      <w:rPr>
        <w:i/>
        <w:color w:val="a6bfdd" w:themeColor="accent1" w:themeTint="80"/>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4f81bd" w:themeColor="accent1" w:sz="4" w:space="0"/>
        </w:tcBorders>
      </w:tcPr>
    </w:tblStylePr>
    <w:tblStylePr w:type="firstRow">
      <w:rPr>
        <w:b/>
        <w:color w:val="a6bfdd" w:themeColor="accent1" w:themeTint="80"/>
        <w:sz w:val="22"/>
      </w:rPr>
      <w:pPr>
        <w:pBdr/>
        <w:spacing/>
        <w:ind/>
      </w:pPr>
      <w:tblPr>
        <w:tblBorders/>
      </w:tblPr>
      <w:tcPr>
        <w:shd w:val="clear" w:color="ffffff" w:fill="ffffff" w:themeFill="light1"/>
        <w:tcBorders>
          <w:top w:val="none" w:color="000000" w:sz="4" w:space="0"/>
          <w:left w:val="none" w:color="000000" w:sz="4" w:space="0"/>
          <w:bottom w:val="single" w:color="4f81bd" w:themeColor="accent1" w:sz="4" w:space="0"/>
          <w:right w:val="none" w:color="000000" w:sz="4" w:space="0"/>
        </w:tcBorders>
      </w:tcPr>
    </w:tblStylePr>
    <w:tblStylePr w:type="lastCol">
      <w:rPr>
        <w:i/>
        <w:color w:val="a6bfdd" w:themeColor="accent1" w:themeTint="80"/>
        <w:sz w:val="22"/>
      </w:rPr>
      <w:pPr>
        <w:pBdr/>
        <w:spacing/>
        <w:ind/>
      </w:pPr>
      <w:tblPr>
        <w:tblBorders/>
      </w:tblPr>
      <w:tcPr>
        <w:shd w:val="clear" w:color="ffffff" w:fill="auto"/>
        <w:tcBorders>
          <w:top w:val="none" w:color="000000" w:sz="4" w:space="0"/>
          <w:left w:val="single" w:color="4f81bd" w:themeColor="accent1" w:sz="4" w:space="0"/>
          <w:bottom w:val="none" w:color="000000" w:sz="4" w:space="0"/>
          <w:right w:val="none" w:color="000000" w:sz="4" w:space="0"/>
        </w:tcBorders>
      </w:tcPr>
    </w:tblStylePr>
    <w:tblStylePr w:type="lastRow">
      <w:rPr>
        <w:b/>
        <w:color w:val="a6bfdd" w:themeColor="accent1" w:themeTint="80"/>
        <w:sz w:val="22"/>
      </w:rPr>
      <w:pPr>
        <w:pBdr/>
        <w:spacing/>
        <w:ind/>
      </w:pPr>
      <w:tblPr>
        <w:tblBorders/>
      </w:tblPr>
      <w:tcPr>
        <w:shd w:val="clear" w:color="ffffff" w:fill="ffffff" w:themeFill="light1"/>
        <w:tcBorders>
          <w:top w:val="single" w:color="4f81bd"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4" w:customStyle="1">
    <w:name w:val="Grid Table 7 Colorful - Accent 2"/>
    <w:basedOn w:val="892"/>
    <w:uiPriority w:val="99"/>
    <w:pPr>
      <w:pBdr/>
      <w:spacing/>
      <w:ind/>
    </w:pPr>
    <w:tblPr>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cPr>
      <w:tcBorders/>
    </w:tcPr>
    <w:tblStylePr w:type="band1Horz">
      <w:rPr>
        <w:color w:val="da9796" w:themeColor="accent2" w:themeTint="96"/>
        <w:sz w:val="22"/>
      </w:rPr>
      <w:pPr>
        <w:pBdr/>
        <w:spacing/>
        <w:ind/>
      </w:pPr>
      <w:tblPr>
        <w:tblBorders/>
      </w:tblPr>
      <w:tcPr>
        <w:shd w:val="clear" w:color="f2dcdc" w:fill="f2dcdc" w:themeFill="accent2" w:themeFillTint="32"/>
        <w:tcBorders/>
      </w:tcPr>
    </w:tblStylePr>
    <w:tblStylePr w:type="band1Vert">
      <w:pPr>
        <w:pBdr/>
        <w:spacing/>
        <w:ind/>
      </w:pPr>
      <w:tblPr>
        <w:tblBorders/>
      </w:tblPr>
      <w:tcPr>
        <w:shd w:val="clear" w:color="f2dcdc" w:fill="f2dcdc" w:themeFill="accent2" w:themeFillTint="32"/>
        <w:tcBorders/>
      </w:tcPr>
    </w:tblStylePr>
    <w:tblStylePr w:type="band2Horz">
      <w:rPr>
        <w:color w:val="da9796" w:themeColor="accent2" w:themeTint="96"/>
        <w:sz w:val="22"/>
      </w:rPr>
      <w:pPr>
        <w:pBdr/>
        <w:spacing/>
        <w:ind/>
      </w:pPr>
      <w:tblPr>
        <w:tblBorders/>
      </w:tblPr>
      <w:tcPr>
        <w:tcBorders/>
      </w:tcPr>
    </w:tblStylePr>
    <w:tblStylePr w:type="band2Vert">
      <w:pPr>
        <w:pBdr/>
        <w:spacing/>
        <w:ind/>
      </w:pPr>
      <w:tblPr>
        <w:tblBorders/>
      </w:tblPr>
      <w:tcPr>
        <w:tcBorders/>
      </w:tcPr>
    </w:tblStylePr>
    <w:tblStylePr w:type="firstCol">
      <w:rPr>
        <w:i/>
        <w:color w:val="da9796" w:themeColor="accent2" w:themeTint="96"/>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0504d" w:themeColor="accent2" w:sz="4" w:space="0"/>
        </w:tcBorders>
      </w:tcPr>
    </w:tblStylePr>
    <w:tblStylePr w:type="firstRow">
      <w:rPr>
        <w:b/>
        <w:color w:val="da9796" w:themeColor="accent2" w:themeTint="96"/>
        <w:sz w:val="22"/>
      </w:rPr>
      <w:pPr>
        <w:pBdr/>
        <w:spacing/>
        <w:ind/>
      </w:pPr>
      <w:tblPr>
        <w:tblBorders/>
      </w:tblPr>
      <w:tcPr>
        <w:shd w:val="clear" w:color="ffffff" w:fill="ffffff" w:themeFill="light1"/>
        <w:tcBorders>
          <w:top w:val="none" w:color="000000" w:sz="4" w:space="0"/>
          <w:left w:val="none" w:color="000000" w:sz="4" w:space="0"/>
          <w:bottom w:val="single" w:color="c0504d" w:themeColor="accent2" w:sz="4" w:space="0"/>
          <w:right w:val="none" w:color="000000" w:sz="4" w:space="0"/>
        </w:tcBorders>
      </w:tcPr>
    </w:tblStylePr>
    <w:tblStylePr w:type="lastCol">
      <w:rPr>
        <w:i/>
        <w:color w:val="da9796" w:themeColor="accent2" w:themeTint="96"/>
        <w:sz w:val="22"/>
      </w:rPr>
      <w:pPr>
        <w:pBdr/>
        <w:spacing/>
        <w:ind/>
      </w:pPr>
      <w:tblPr>
        <w:tblBorders/>
      </w:tblPr>
      <w:tcPr>
        <w:shd w:val="clear" w:color="ffffff" w:fill="auto"/>
        <w:tcBorders>
          <w:top w:val="none" w:color="000000" w:sz="4" w:space="0"/>
          <w:left w:val="single" w:color="c0504d" w:themeColor="accent2" w:sz="4" w:space="0"/>
          <w:bottom w:val="none" w:color="000000" w:sz="4" w:space="0"/>
          <w:right w:val="none" w:color="000000" w:sz="4" w:space="0"/>
        </w:tcBorders>
      </w:tcPr>
    </w:tblStylePr>
    <w:tblStylePr w:type="lastRow">
      <w:rPr>
        <w:b/>
        <w:color w:val="da9796" w:themeColor="accent2" w:themeTint="96"/>
        <w:sz w:val="22"/>
      </w:rPr>
      <w:pPr>
        <w:pBdr/>
        <w:spacing/>
        <w:ind/>
      </w:pPr>
      <w:tblPr>
        <w:tblBorders/>
      </w:tblPr>
      <w:tcPr>
        <w:shd w:val="clear" w:color="ffffff" w:fill="ffffff" w:themeFill="light1"/>
        <w:tcBorders>
          <w:top w:val="single" w:color="c0504d"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5" w:customStyle="1">
    <w:name w:val="Grid Table 7 Colorful - Accent 3"/>
    <w:basedOn w:val="892"/>
    <w:uiPriority w:val="99"/>
    <w:pPr>
      <w:pBdr/>
      <w:spacing/>
      <w:ind/>
    </w:pPr>
    <w:tblPr>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cPr>
      <w:tcBorders/>
    </w:tcPr>
    <w:tblStylePr w:type="band1Horz">
      <w:rPr>
        <w:color w:val="9bbb59" w:themeColor="accent3"/>
        <w:sz w:val="22"/>
      </w:rPr>
      <w:pPr>
        <w:pBdr/>
        <w:spacing/>
        <w:ind/>
      </w:pPr>
      <w:tblPr>
        <w:tblBorders/>
      </w:tblPr>
      <w:tcPr>
        <w:shd w:val="clear" w:color="eaf1dc" w:fill="eaf1dc" w:themeFill="accent3" w:themeFillTint="34"/>
        <w:tcBorders/>
      </w:tcPr>
    </w:tblStylePr>
    <w:tblStylePr w:type="band1Vert">
      <w:pPr>
        <w:pBdr/>
        <w:spacing/>
        <w:ind/>
      </w:pPr>
      <w:tblPr>
        <w:tblBorders/>
      </w:tblPr>
      <w:tcPr>
        <w:shd w:val="clear" w:color="eaf1dc" w:fill="eaf1dc" w:themeFill="accent3" w:themeFillTint="34"/>
        <w:tcBorders/>
      </w:tcPr>
    </w:tblStylePr>
    <w:tblStylePr w:type="band2Horz">
      <w:rPr>
        <w:color w:val="9bbb59" w:themeColor="accent3"/>
        <w:sz w:val="22"/>
      </w:rPr>
      <w:pPr>
        <w:pBdr/>
        <w:spacing/>
        <w:ind/>
      </w:pPr>
      <w:tblPr>
        <w:tblBorders/>
      </w:tblPr>
      <w:tcPr>
        <w:tcBorders/>
      </w:tcPr>
    </w:tblStylePr>
    <w:tblStylePr w:type="band2Vert">
      <w:pPr>
        <w:pBdr/>
        <w:spacing/>
        <w:ind/>
      </w:pPr>
      <w:tblPr>
        <w:tblBorders/>
      </w:tblPr>
      <w:tcPr>
        <w:tcBorders/>
      </w:tcPr>
    </w:tblStylePr>
    <w:tblStylePr w:type="firstCol">
      <w:rPr>
        <w:i/>
        <w:color w:val="9bbb59" w:themeColor="accent3"/>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bbb59" w:themeColor="accent3" w:sz="4" w:space="0"/>
        </w:tcBorders>
      </w:tcPr>
    </w:tblStylePr>
    <w:tblStylePr w:type="firstRow">
      <w:rPr>
        <w:b/>
        <w:color w:val="9bbb59" w:themeColor="accent3"/>
        <w:sz w:val="22"/>
      </w:rPr>
      <w:pPr>
        <w:pBdr/>
        <w:spacing/>
        <w:ind/>
      </w:pPr>
      <w:tblPr>
        <w:tblBorders/>
      </w:tblPr>
      <w:tcPr>
        <w:shd w:val="clear" w:color="ffffff" w:fill="ffffff" w:themeFill="light1"/>
        <w:tcBorders>
          <w:top w:val="none" w:color="000000" w:sz="4" w:space="0"/>
          <w:left w:val="none" w:color="000000" w:sz="4" w:space="0"/>
          <w:bottom w:val="single" w:color="9bbb59" w:themeColor="accent3" w:sz="4" w:space="0"/>
          <w:right w:val="none" w:color="000000" w:sz="4" w:space="0"/>
        </w:tcBorders>
      </w:tcPr>
    </w:tblStylePr>
    <w:tblStylePr w:type="lastCol">
      <w:rPr>
        <w:i/>
        <w:color w:val="9bbb59" w:themeColor="accent3"/>
        <w:sz w:val="22"/>
      </w:rPr>
      <w:pPr>
        <w:pBdr/>
        <w:spacing/>
        <w:ind/>
      </w:pPr>
      <w:tblPr>
        <w:tblBorders/>
      </w:tblPr>
      <w:tcPr>
        <w:shd w:val="clear" w:color="ffffff" w:fill="auto"/>
        <w:tcBorders>
          <w:top w:val="none" w:color="000000" w:sz="4" w:space="0"/>
          <w:left w:val="single" w:color="9bbb59" w:themeColor="accent3" w:sz="4" w:space="0"/>
          <w:bottom w:val="none" w:color="000000" w:sz="4" w:space="0"/>
          <w:right w:val="none" w:color="000000" w:sz="4" w:space="0"/>
        </w:tcBorders>
      </w:tcPr>
    </w:tblStylePr>
    <w:tblStylePr w:type="lastRow">
      <w:rPr>
        <w:b/>
        <w:color w:val="9bbb59" w:themeColor="accent3"/>
        <w:sz w:val="22"/>
      </w:rPr>
      <w:pPr>
        <w:pBdr/>
        <w:spacing/>
        <w:ind/>
      </w:pPr>
      <w:tblPr>
        <w:tblBorders/>
      </w:tblPr>
      <w:tcPr>
        <w:shd w:val="clear" w:color="ffffff" w:fill="ffffff" w:themeFill="light1"/>
        <w:tcBorders>
          <w:top w:val="single" w:color="9bbb59"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6" w:customStyle="1">
    <w:name w:val="Grid Table 7 Colorful - Accent 4"/>
    <w:basedOn w:val="892"/>
    <w:uiPriority w:val="99"/>
    <w:pPr>
      <w:pBdr/>
      <w:spacing/>
      <w:ind/>
    </w:pPr>
    <w:tblPr>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cPr>
      <w:tcBorders/>
    </w:tcPr>
    <w:tblStylePr w:type="band1Horz">
      <w:rPr>
        <w:color w:val="b2a1c7" w:themeColor="accent4" w:themeTint="99"/>
        <w:sz w:val="22"/>
      </w:rPr>
      <w:pPr>
        <w:pBdr/>
        <w:spacing/>
        <w:ind/>
      </w:pPr>
      <w:tblPr>
        <w:tblBorders/>
      </w:tblPr>
      <w:tcPr>
        <w:shd w:val="clear" w:color="e5dfec" w:fill="e5dfec" w:themeFill="accent4" w:themeFillTint="34"/>
        <w:tcBorders/>
      </w:tcPr>
    </w:tblStylePr>
    <w:tblStylePr w:type="band1Vert">
      <w:pPr>
        <w:pBdr/>
        <w:spacing/>
        <w:ind/>
      </w:pPr>
      <w:tblPr>
        <w:tblBorders/>
      </w:tblPr>
      <w:tcPr>
        <w:shd w:val="clear" w:color="e5dfec" w:fill="e5dfec" w:themeFill="accent4" w:themeFillTint="34"/>
        <w:tcBorders/>
      </w:tcPr>
    </w:tblStylePr>
    <w:tblStylePr w:type="band2Horz">
      <w:rPr>
        <w:color w:val="b2a1c7" w:themeColor="accent4" w:themeTint="99"/>
        <w:sz w:val="22"/>
      </w:rPr>
      <w:pPr>
        <w:pBdr/>
        <w:spacing/>
        <w:ind/>
      </w:pPr>
      <w:tblPr>
        <w:tblBorders/>
      </w:tblPr>
      <w:tcPr>
        <w:tcBorders/>
      </w:tcPr>
    </w:tblStylePr>
    <w:tblStylePr w:type="band2Vert">
      <w:pPr>
        <w:pBdr/>
        <w:spacing/>
        <w:ind/>
      </w:pPr>
      <w:tblPr>
        <w:tblBorders/>
      </w:tblPr>
      <w:tcPr>
        <w:tcBorders/>
      </w:tcPr>
    </w:tblStylePr>
    <w:tblStylePr w:type="firstCol">
      <w:rPr>
        <w:i/>
        <w:color w:val="b2a1c7" w:themeColor="accent4" w:themeTint="99"/>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8064a2" w:themeColor="accent4" w:sz="4" w:space="0"/>
        </w:tcBorders>
      </w:tcPr>
    </w:tblStylePr>
    <w:tblStylePr w:type="firstRow">
      <w:rPr>
        <w:b/>
        <w:color w:val="b2a1c7" w:themeColor="accent4" w:themeTint="99"/>
        <w:sz w:val="22"/>
      </w:rPr>
      <w:pPr>
        <w:pBdr/>
        <w:spacing/>
        <w:ind/>
      </w:pPr>
      <w:tblPr>
        <w:tblBorders/>
      </w:tblPr>
      <w:tcPr>
        <w:shd w:val="clear" w:color="ffffff" w:fill="ffffff" w:themeFill="light1"/>
        <w:tcBorders>
          <w:top w:val="none" w:color="000000" w:sz="4" w:space="0"/>
          <w:left w:val="none" w:color="000000" w:sz="4" w:space="0"/>
          <w:bottom w:val="single" w:color="8064a2" w:themeColor="accent4" w:sz="4" w:space="0"/>
          <w:right w:val="none" w:color="000000" w:sz="4" w:space="0"/>
        </w:tcBorders>
      </w:tcPr>
    </w:tblStylePr>
    <w:tblStylePr w:type="lastCol">
      <w:rPr>
        <w:i/>
        <w:color w:val="b2a1c7" w:themeColor="accent4" w:themeTint="99"/>
        <w:sz w:val="22"/>
      </w:rPr>
      <w:pPr>
        <w:pBdr/>
        <w:spacing/>
        <w:ind/>
      </w:pPr>
      <w:tblPr>
        <w:tblBorders/>
      </w:tblPr>
      <w:tcPr>
        <w:shd w:val="clear" w:color="ffffff" w:fill="auto"/>
        <w:tcBorders>
          <w:top w:val="none" w:color="000000" w:sz="4" w:space="0"/>
          <w:left w:val="single" w:color="8064a2" w:themeColor="accent4" w:sz="4" w:space="0"/>
          <w:bottom w:val="none" w:color="000000" w:sz="4" w:space="0"/>
          <w:right w:val="none" w:color="000000" w:sz="4" w:space="0"/>
        </w:tcBorders>
      </w:tcPr>
    </w:tblStylePr>
    <w:tblStylePr w:type="lastRow">
      <w:rPr>
        <w:b/>
        <w:color w:val="b2a1c7" w:themeColor="accent4" w:themeTint="99"/>
        <w:sz w:val="22"/>
      </w:rPr>
      <w:pPr>
        <w:pBdr/>
        <w:spacing/>
        <w:ind/>
      </w:pPr>
      <w:tblPr>
        <w:tblBorders/>
      </w:tblPr>
      <w:tcPr>
        <w:shd w:val="clear" w:color="ffffff" w:fill="ffffff" w:themeFill="light1"/>
        <w:tcBorders>
          <w:top w:val="single" w:color="8064a2"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7" w:customStyle="1">
    <w:name w:val="Grid Table 7 Colorful - Accent 5"/>
    <w:basedOn w:val="892"/>
    <w:uiPriority w:val="99"/>
    <w:pPr>
      <w:pBdr/>
      <w:spacing/>
      <w:ind/>
    </w:pPr>
    <w:tblPr>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cPr>
      <w:tcBorders/>
    </w:tcPr>
    <w:tblStylePr w:type="band1Horz">
      <w:rPr>
        <w:color w:val="266678" w:themeColor="accent5" w:themeShade="94"/>
        <w:sz w:val="22"/>
      </w:rPr>
      <w:pPr>
        <w:pBdr/>
        <w:spacing/>
        <w:ind/>
      </w:pPr>
      <w:tblPr>
        <w:tblBorders/>
      </w:tblPr>
      <w:tcPr>
        <w:shd w:val="clear" w:color="daeef3" w:fill="daeef3" w:themeFill="accent5" w:themeFillTint="34"/>
        <w:tcBorders/>
      </w:tcPr>
    </w:tblStylePr>
    <w:tblStylePr w:type="band1Vert">
      <w:pPr>
        <w:pBdr/>
        <w:spacing/>
        <w:ind/>
      </w:pPr>
      <w:tblPr>
        <w:tblBorders/>
      </w:tblPr>
      <w:tcPr>
        <w:shd w:val="clear" w:color="daeef3" w:fill="daeef3" w:themeFill="accent5" w:themeFillTint="34"/>
        <w:tcBorders/>
      </w:tcPr>
    </w:tblStylePr>
    <w:tblStylePr w:type="band2Horz">
      <w:rPr>
        <w:color w:val="266678" w:themeColor="accent5" w:themeShade="94"/>
        <w:sz w:val="22"/>
      </w:rPr>
      <w:pPr>
        <w:pBdr/>
        <w:spacing/>
        <w:ind/>
      </w:pPr>
      <w:tblPr>
        <w:tblBorders/>
      </w:tblPr>
      <w:tcPr>
        <w:tcBorders/>
      </w:tcPr>
    </w:tblStylePr>
    <w:tblStylePr w:type="band2Vert">
      <w:pPr>
        <w:pBdr/>
        <w:spacing/>
        <w:ind/>
      </w:pPr>
      <w:tblPr>
        <w:tblBorders/>
      </w:tblPr>
      <w:tcPr>
        <w:tcBorders/>
      </w:tcPr>
    </w:tblStylePr>
    <w:tblStylePr w:type="firstCol">
      <w:rPr>
        <w:i/>
        <w:color w:val="266678" w:themeColor="accent5" w:themeShade="94"/>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4bacc6" w:themeColor="accent5" w:sz="4" w:space="0"/>
        </w:tcBorders>
      </w:tcPr>
    </w:tblStylePr>
    <w:tblStylePr w:type="firstRow">
      <w:rPr>
        <w:b/>
        <w:color w:val="266678" w:themeColor="accent5" w:themeShade="94"/>
        <w:sz w:val="22"/>
      </w:rPr>
      <w:pPr>
        <w:pBdr/>
        <w:spacing/>
        <w:ind/>
      </w:pPr>
      <w:tblPr>
        <w:tblBorders/>
      </w:tblPr>
      <w:tcPr>
        <w:shd w:val="clear" w:color="ffffff" w:fill="ffffff" w:themeFill="light1"/>
        <w:tcBorders>
          <w:top w:val="none" w:color="000000" w:sz="4" w:space="0"/>
          <w:left w:val="none" w:color="000000" w:sz="4" w:space="0"/>
          <w:bottom w:val="single" w:color="4bacc6" w:themeColor="accent5" w:sz="4" w:space="0"/>
          <w:right w:val="none" w:color="000000" w:sz="4" w:space="0"/>
        </w:tcBorders>
      </w:tcPr>
    </w:tblStylePr>
    <w:tblStylePr w:type="lastCol">
      <w:rPr>
        <w:i/>
        <w:color w:val="266678" w:themeColor="accent5" w:themeShade="94"/>
        <w:sz w:val="22"/>
      </w:rPr>
      <w:pPr>
        <w:pBdr/>
        <w:spacing/>
        <w:ind/>
      </w:pPr>
      <w:tblPr>
        <w:tblBorders/>
      </w:tblPr>
      <w:tcPr>
        <w:shd w:val="clear" w:color="ffffff" w:fill="auto"/>
        <w:tcBorders>
          <w:top w:val="none" w:color="000000" w:sz="4" w:space="0"/>
          <w:left w:val="single" w:color="4bacc6" w:themeColor="accent5" w:sz="4" w:space="0"/>
          <w:bottom w:val="none" w:color="000000" w:sz="4" w:space="0"/>
          <w:right w:val="none" w:color="000000" w:sz="4" w:space="0"/>
        </w:tcBorders>
      </w:tcPr>
    </w:tblStylePr>
    <w:tblStylePr w:type="lastRow">
      <w:rPr>
        <w:b/>
        <w:color w:val="266678" w:themeColor="accent5" w:themeShade="94"/>
        <w:sz w:val="22"/>
      </w:rPr>
      <w:pPr>
        <w:pBdr/>
        <w:spacing/>
        <w:ind/>
      </w:pPr>
      <w:tblPr>
        <w:tblBorders/>
      </w:tblPr>
      <w:tcPr>
        <w:shd w:val="clear" w:color="ffffff" w:fill="ffffff" w:themeFill="light1"/>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8" w:customStyle="1">
    <w:name w:val="Grid Table 7 Colorful - Accent 6"/>
    <w:basedOn w:val="892"/>
    <w:uiPriority w:val="99"/>
    <w:pPr>
      <w:pBdr/>
      <w:spacing/>
      <w:ind/>
    </w:pPr>
    <w:tblPr>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cPr>
      <w:tcBorders/>
    </w:tcPr>
    <w:tblStylePr w:type="band1Horz">
      <w:rPr>
        <w:color w:val="b05307" w:themeColor="accent6" w:themeShade="94"/>
        <w:sz w:val="22"/>
      </w:rPr>
      <w:pPr>
        <w:pBdr/>
        <w:spacing/>
        <w:ind/>
      </w:pPr>
      <w:tblPr>
        <w:tblBorders/>
      </w:tblPr>
      <w:tcPr>
        <w:shd w:val="clear" w:color="fde9d8" w:fill="fde9d8" w:themeFill="accent6" w:themeFillTint="34"/>
        <w:tcBorders/>
      </w:tcPr>
    </w:tblStylePr>
    <w:tblStylePr w:type="band1Vert">
      <w:pPr>
        <w:pBdr/>
        <w:spacing/>
        <w:ind/>
      </w:pPr>
      <w:tblPr>
        <w:tblBorders/>
      </w:tblPr>
      <w:tcPr>
        <w:shd w:val="clear" w:color="fde9d8" w:fill="fde9d8" w:themeFill="accent6" w:themeFillTint="34"/>
        <w:tcBorders/>
      </w:tcPr>
    </w:tblStylePr>
    <w:tblStylePr w:type="band2Horz">
      <w:rPr>
        <w:color w:val="b05307" w:themeColor="accent6" w:themeShade="94"/>
        <w:sz w:val="22"/>
      </w:rPr>
      <w:pPr>
        <w:pBdr/>
        <w:spacing/>
        <w:ind/>
      </w:pPr>
      <w:tblPr>
        <w:tblBorders/>
      </w:tblPr>
      <w:tcPr>
        <w:tcBorders/>
      </w:tcPr>
    </w:tblStylePr>
    <w:tblStylePr w:type="band2Vert">
      <w:pPr>
        <w:pBdr/>
        <w:spacing/>
        <w:ind/>
      </w:pPr>
      <w:tblPr>
        <w:tblBorders/>
      </w:tblPr>
      <w:tcPr>
        <w:tcBorders/>
      </w:tcPr>
    </w:tblStylePr>
    <w:tblStylePr w:type="firstCol">
      <w:rPr>
        <w:i/>
        <w:color w:val="b05307" w:themeColor="accent6" w:themeShade="94"/>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79646" w:themeColor="accent6" w:sz="4" w:space="0"/>
        </w:tcBorders>
      </w:tcPr>
    </w:tblStylePr>
    <w:tblStylePr w:type="firstRow">
      <w:rPr>
        <w:b/>
        <w:color w:val="b05307" w:themeColor="accent6" w:themeShade="94"/>
        <w:sz w:val="22"/>
      </w:rPr>
      <w:pPr>
        <w:pBdr/>
        <w:spacing/>
        <w:ind/>
      </w:pPr>
      <w:tblPr>
        <w:tblBorders/>
      </w:tblPr>
      <w:tcPr>
        <w:shd w:val="clear" w:color="ffffff" w:fill="ffffff" w:themeFill="light1"/>
        <w:tcBorders>
          <w:top w:val="none" w:color="000000" w:sz="4" w:space="0"/>
          <w:left w:val="none" w:color="000000" w:sz="4" w:space="0"/>
          <w:bottom w:val="single" w:color="f79646" w:themeColor="accent6" w:sz="4" w:space="0"/>
          <w:right w:val="none" w:color="000000" w:sz="4" w:space="0"/>
        </w:tcBorders>
      </w:tcPr>
    </w:tblStylePr>
    <w:tblStylePr w:type="lastCol">
      <w:rPr>
        <w:i/>
        <w:color w:val="b05307" w:themeColor="accent6" w:themeShade="94"/>
        <w:sz w:val="22"/>
      </w:rPr>
      <w:pPr>
        <w:pBdr/>
        <w:spacing/>
        <w:ind/>
      </w:pPr>
      <w:tblPr>
        <w:tblBorders/>
      </w:tblPr>
      <w:tcPr>
        <w:shd w:val="clear" w:color="ffffff" w:fill="auto"/>
        <w:tcBorders>
          <w:top w:val="none" w:color="000000" w:sz="4" w:space="0"/>
          <w:left w:val="single" w:color="f79646" w:themeColor="accent6" w:sz="4" w:space="0"/>
          <w:bottom w:val="none" w:color="000000" w:sz="4" w:space="0"/>
          <w:right w:val="none" w:color="000000" w:sz="4" w:space="0"/>
        </w:tcBorders>
      </w:tcPr>
    </w:tblStylePr>
    <w:tblStylePr w:type="lastRow">
      <w:rPr>
        <w:b/>
        <w:color w:val="b05307" w:themeColor="accent6" w:themeShade="94"/>
        <w:sz w:val="22"/>
      </w:rPr>
      <w:pPr>
        <w:pBdr/>
        <w:spacing/>
        <w:ind/>
      </w:pPr>
      <w:tblPr>
        <w:tblBorders/>
      </w:tblPr>
      <w:tcPr>
        <w:shd w:val="clear" w:color="ffffff" w:fill="ffffff" w:themeFill="light1"/>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9" w:customStyle="1">
    <w:name w:val="Tabela de Lista 1 Clara1"/>
    <w:basedOn w:val="892"/>
    <w:uiPriority w:val="99"/>
    <w:pPr>
      <w:pBdr/>
      <w:spacing/>
      <w:ind/>
    </w:pPr>
    <w:tblPr>
      <w:tblBorders/>
    </w:tblPr>
    <w:tcPr>
      <w:tcBorders/>
    </w:tcPr>
    <w:tblStylePr w:type="band1Horz">
      <w:pPr>
        <w:pBdr/>
        <w:spacing/>
        <w:ind/>
      </w:pPr>
      <w:tblPr>
        <w:tblBorders/>
      </w:tblPr>
      <w:tcPr>
        <w:shd w:val="clear" w:color="bfbfbf" w:fill="bfbfbf" w:themeFill="text1" w:themeFillTint="40"/>
        <w:tcBorders/>
      </w:tcPr>
    </w:tblStylePr>
    <w:tblStylePr w:type="band1Vert">
      <w:pPr>
        <w:pBdr/>
        <w:spacing/>
        <w:ind/>
      </w:pPr>
      <w:tblPr>
        <w:tblBorders/>
      </w:tblPr>
      <w:tcPr>
        <w:shd w:val="clear" w:color="bfbfb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0" w:customStyle="1">
    <w:name w:val="List Table 1 Light - Accent 1"/>
    <w:basedOn w:val="892"/>
    <w:uiPriority w:val="99"/>
    <w:pPr>
      <w:pBdr/>
      <w:spacing/>
      <w:ind/>
    </w:pPr>
    <w:tblPr>
      <w:tblBorders/>
    </w:tblPr>
    <w:tcPr>
      <w:tcBorders/>
    </w:tcPr>
    <w:tblStylePr w:type="band1Horz">
      <w:pPr>
        <w:pBdr/>
        <w:spacing/>
        <w:ind/>
      </w:pPr>
      <w:tblPr>
        <w:tblBorders/>
      </w:tblPr>
      <w:tcPr>
        <w:shd w:val="clear" w:color="d2dfee" w:fill="d2dfee" w:themeFill="accent1" w:themeFillTint="40"/>
        <w:tcBorders/>
      </w:tcPr>
    </w:tblStylePr>
    <w:tblStylePr w:type="band1Vert">
      <w:pPr>
        <w:pBdr/>
        <w:spacing/>
        <w:ind/>
      </w:pPr>
      <w:tblPr>
        <w:tblBorders/>
      </w:tblPr>
      <w:tcPr>
        <w:shd w:val="clear" w:color="d2dfee"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4f81bd" w:themeColor="accen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4f81bd"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1" w:customStyle="1">
    <w:name w:val="List Table 1 Light - Accent 2"/>
    <w:basedOn w:val="892"/>
    <w:uiPriority w:val="99"/>
    <w:pPr>
      <w:pBdr/>
      <w:spacing/>
      <w:ind/>
    </w:pPr>
    <w:tblPr>
      <w:tblBorders/>
    </w:tblPr>
    <w:tcPr>
      <w:tcBorders/>
    </w:tcPr>
    <w:tblStylePr w:type="band1Horz">
      <w:pPr>
        <w:pBdr/>
        <w:spacing/>
        <w:ind/>
      </w:pPr>
      <w:tblPr>
        <w:tblBorders/>
      </w:tblPr>
      <w:tcPr>
        <w:shd w:val="clear" w:color="efd2d2" w:fill="efd2d2" w:themeFill="accent2" w:themeFillTint="40"/>
        <w:tcBorders/>
      </w:tcPr>
    </w:tblStylePr>
    <w:tblStylePr w:type="band1Vert">
      <w:pPr>
        <w:pBdr/>
        <w:spacing/>
        <w:ind/>
      </w:pPr>
      <w:tblPr>
        <w:tblBorders/>
      </w:tblPr>
      <w:tcPr>
        <w:shd w:val="clear" w:color="efd2d2"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c0504d" w:themeColor="accent2"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c0504d"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2" w:customStyle="1">
    <w:name w:val="List Table 1 Light - Accent 3"/>
    <w:basedOn w:val="892"/>
    <w:uiPriority w:val="99"/>
    <w:pPr>
      <w:pBdr/>
      <w:spacing/>
      <w:ind/>
    </w:pPr>
    <w:tblPr>
      <w:tblBorders/>
    </w:tblPr>
    <w:tcPr>
      <w:tcBorders/>
    </w:tcPr>
    <w:tblStylePr w:type="band1Horz">
      <w:pPr>
        <w:pBdr/>
        <w:spacing/>
        <w:ind/>
      </w:pPr>
      <w:tblPr>
        <w:tblBorders/>
      </w:tblPr>
      <w:tcPr>
        <w:shd w:val="clear" w:color="e5eed5" w:fill="e5eed5" w:themeFill="accent3" w:themeFillTint="40"/>
        <w:tcBorders/>
      </w:tcPr>
    </w:tblStylePr>
    <w:tblStylePr w:type="band1Vert">
      <w:pPr>
        <w:pBdr/>
        <w:spacing/>
        <w:ind/>
      </w:pPr>
      <w:tblPr>
        <w:tblBorders/>
      </w:tblPr>
      <w:tcPr>
        <w:shd w:val="clear" w:color="e5eed5"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9bbb59" w:themeColor="accent3"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9bbb59"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3" w:customStyle="1">
    <w:name w:val="List Table 1 Light - Accent 4"/>
    <w:basedOn w:val="892"/>
    <w:uiPriority w:val="99"/>
    <w:pPr>
      <w:pBdr/>
      <w:spacing/>
      <w:ind/>
    </w:pPr>
    <w:tblPr>
      <w:tblBorders/>
    </w:tblPr>
    <w:tcPr>
      <w:tcBorders/>
    </w:tcPr>
    <w:tblStylePr w:type="band1Horz">
      <w:pPr>
        <w:pBdr/>
        <w:spacing/>
        <w:ind/>
      </w:pPr>
      <w:tblPr>
        <w:tblBorders/>
      </w:tblPr>
      <w:tcPr>
        <w:shd w:val="clear" w:color="dfd8e7" w:fill="dfd8e7" w:themeFill="accent4" w:themeFillTint="40"/>
        <w:tcBorders/>
      </w:tcPr>
    </w:tblStylePr>
    <w:tblStylePr w:type="band1Vert">
      <w:pPr>
        <w:pBdr/>
        <w:spacing/>
        <w:ind/>
      </w:pPr>
      <w:tblPr>
        <w:tblBorders/>
      </w:tblPr>
      <w:tcPr>
        <w:shd w:val="clear" w:color="dfd8e7"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8064a2" w:themeColor="accent4"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8064a2"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4" w:customStyle="1">
    <w:name w:val="List Table 1 Light - Accent 5"/>
    <w:basedOn w:val="892"/>
    <w:uiPriority w:val="99"/>
    <w:pPr>
      <w:pBdr/>
      <w:spacing/>
      <w:ind/>
    </w:pPr>
    <w:tblPr>
      <w:tblBorders/>
    </w:tblPr>
    <w:tcPr>
      <w:tcBorders/>
    </w:tcPr>
    <w:tblStylePr w:type="band1Horz">
      <w:pPr>
        <w:pBdr/>
        <w:spacing/>
        <w:ind/>
      </w:pPr>
      <w:tblPr>
        <w:tblBorders/>
      </w:tblPr>
      <w:tcPr>
        <w:shd w:val="clear" w:color="d1eaf0" w:fill="d1eaf0" w:themeFill="accent5" w:themeFillTint="40"/>
        <w:tcBorders/>
      </w:tcPr>
    </w:tblStylePr>
    <w:tblStylePr w:type="band1Vert">
      <w:pPr>
        <w:pBdr/>
        <w:spacing/>
        <w:ind/>
      </w:pPr>
      <w:tblPr>
        <w:tblBorders/>
      </w:tblPr>
      <w:tcPr>
        <w:shd w:val="clear" w:color="d1eaf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4bacc6" w:themeColor="accent5"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5" w:customStyle="1">
    <w:name w:val="List Table 1 Light - Accent 6"/>
    <w:basedOn w:val="892"/>
    <w:uiPriority w:val="99"/>
    <w:pPr>
      <w:pBdr/>
      <w:spacing/>
      <w:ind/>
    </w:pPr>
    <w:tblPr>
      <w:tblBorders/>
    </w:tblPr>
    <w:tcPr>
      <w:tcBorders/>
    </w:tcPr>
    <w:tblStylePr w:type="band1Horz">
      <w:pPr>
        <w:pBdr/>
        <w:spacing/>
        <w:ind/>
      </w:pPr>
      <w:tblPr>
        <w:tblBorders/>
      </w:tblPr>
      <w:tcPr>
        <w:shd w:val="clear" w:color="fde4d0" w:fill="fde4d0" w:themeFill="accent6" w:themeFillTint="40"/>
        <w:tcBorders/>
      </w:tcPr>
    </w:tblStylePr>
    <w:tblStylePr w:type="band1Vert">
      <w:pPr>
        <w:pBdr/>
        <w:spacing/>
        <w:ind/>
      </w:pPr>
      <w:tblPr>
        <w:tblBorders/>
      </w:tblPr>
      <w:tcPr>
        <w:shd w:val="clear" w:color="fde4d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f79646" w:themeColor="accent6"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6" w:customStyle="1">
    <w:name w:val="Tabela de Lista 21"/>
    <w:basedOn w:val="892"/>
    <w:uiPriority w:val="99"/>
    <w:pPr>
      <w:pBdr/>
      <w:spacing/>
      <w:ind/>
    </w:pPr>
    <w:tblPr>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sz w:val="22"/>
      </w:rPr>
      <w:pPr>
        <w:pBdr/>
        <w:spacing/>
        <w:ind/>
      </w:pPr>
      <w:tblPr>
        <w:tblBorders/>
      </w:tblPr>
      <w:tcPr>
        <w:shd w:val="clear" w:color="bfbfbf" w:fill="bfbfbf" w:themeFill="text1" w:themeFillTint="40"/>
        <w:tcBorders/>
      </w:tcPr>
    </w:tblStylePr>
    <w:tblStylePr w:type="band1Vert">
      <w:rPr>
        <w:sz w:val="22"/>
      </w:rPr>
      <w:pPr>
        <w:pBdr/>
        <w:spacing/>
        <w:ind/>
      </w:pPr>
      <w:tblPr>
        <w:tblBorders/>
      </w:tblPr>
      <w:tcPr>
        <w:shd w:val="clear" w:color="bfbfb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7" w:customStyle="1">
    <w:name w:val="List Table 2 - Accent 1"/>
    <w:basedOn w:val="892"/>
    <w:uiPriority w:val="99"/>
    <w:pPr>
      <w:pBdr/>
      <w:spacing/>
      <w:ind/>
    </w:pPr>
    <w:tblPr>
      <w:tblBorders>
        <w:top w:val="single" w:color="9bb7d9" w:themeColor="accent1" w:themeTint="90" w:sz="4" w:space="0"/>
        <w:bottom w:val="single" w:color="9bb7d9" w:themeColor="accent1" w:themeTint="90" w:sz="4" w:space="0"/>
        <w:insideH w:val="single" w:color="9bb7d9" w:themeColor="accent1" w:themeTint="90" w:sz="4" w:space="0"/>
      </w:tblBorders>
    </w:tblPr>
    <w:tcPr>
      <w:tcBorders/>
    </w:tcPr>
    <w:tblStylePr w:type="band1Horz">
      <w:rPr>
        <w:sz w:val="22"/>
      </w:rPr>
      <w:pPr>
        <w:pBdr/>
        <w:spacing/>
        <w:ind/>
      </w:pPr>
      <w:tblPr>
        <w:tblBorders/>
      </w:tblPr>
      <w:tcPr>
        <w:shd w:val="clear" w:color="d2dfee" w:fill="d2dfee" w:themeFill="accent1" w:themeFillTint="40"/>
        <w:tcBorders/>
      </w:tcPr>
    </w:tblStylePr>
    <w:tblStylePr w:type="band1Vert">
      <w:rPr>
        <w:sz w:val="22"/>
      </w:rPr>
      <w:pPr>
        <w:pBdr/>
        <w:spacing/>
        <w:ind/>
      </w:pPr>
      <w:tblPr>
        <w:tblBorders/>
      </w:tblPr>
      <w:tcPr>
        <w:shd w:val="clear" w:color="d2dfee"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4f81bd" w:themeColor="accent1" w:sz="4" w:space="0"/>
          <w:left w:val="none" w:color="000000" w:sz="4" w:space="0"/>
          <w:bottom w:val="single" w:color="4f81bd" w:themeColor="accen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4f81bd" w:themeColor="accent1" w:sz="4" w:space="0"/>
          <w:left w:val="none" w:color="000000" w:sz="4" w:space="0"/>
          <w:bottom w:val="single" w:color="4f81bd" w:themeColor="accen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8" w:customStyle="1">
    <w:name w:val="List Table 2 - Accent 2"/>
    <w:basedOn w:val="892"/>
    <w:uiPriority w:val="99"/>
    <w:pPr>
      <w:pBdr/>
      <w:spacing/>
      <w:ind/>
    </w:pPr>
    <w:tblPr>
      <w:tblBorders>
        <w:top w:val="single" w:color="db9b9a" w:themeColor="accent2" w:themeTint="90" w:sz="4" w:space="0"/>
        <w:bottom w:val="single" w:color="db9b9a" w:themeColor="accent2" w:themeTint="90" w:sz="4" w:space="0"/>
        <w:insideH w:val="single" w:color="db9b9a" w:themeColor="accent2" w:themeTint="90" w:sz="4" w:space="0"/>
      </w:tblBorders>
    </w:tblPr>
    <w:tcPr>
      <w:tcBorders/>
    </w:tcPr>
    <w:tblStylePr w:type="band1Horz">
      <w:rPr>
        <w:sz w:val="22"/>
      </w:rPr>
      <w:pPr>
        <w:pBdr/>
        <w:spacing/>
        <w:ind/>
      </w:pPr>
      <w:tblPr>
        <w:tblBorders/>
      </w:tblPr>
      <w:tcPr>
        <w:shd w:val="clear" w:color="efd2d2" w:fill="efd2d2" w:themeFill="accent2" w:themeFillTint="40"/>
        <w:tcBorders/>
      </w:tcPr>
    </w:tblStylePr>
    <w:tblStylePr w:type="band1Vert">
      <w:rPr>
        <w:sz w:val="22"/>
      </w:rPr>
      <w:pPr>
        <w:pBdr/>
        <w:spacing/>
        <w:ind/>
      </w:pPr>
      <w:tblPr>
        <w:tblBorders/>
      </w:tblPr>
      <w:tcPr>
        <w:shd w:val="clear" w:color="efd2d2"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c0504d" w:themeColor="accent2" w:sz="4" w:space="0"/>
          <w:left w:val="none" w:color="000000" w:sz="4" w:space="0"/>
          <w:bottom w:val="single" w:color="c0504d" w:themeColor="accent2"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c0504d" w:themeColor="accent2" w:sz="4" w:space="0"/>
          <w:left w:val="none" w:color="000000" w:sz="4" w:space="0"/>
          <w:bottom w:val="single" w:color="c0504d" w:themeColor="accent2"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9" w:customStyle="1">
    <w:name w:val="List Table 2 - Accent 3"/>
    <w:basedOn w:val="892"/>
    <w:uiPriority w:val="99"/>
    <w:pPr>
      <w:pBdr/>
      <w:spacing/>
      <w:ind/>
    </w:pPr>
    <w:tblPr>
      <w:tblBorders>
        <w:top w:val="single" w:color="c6d8a1" w:themeColor="accent3" w:themeTint="90" w:sz="4" w:space="0"/>
        <w:bottom w:val="single" w:color="c6d8a1" w:themeColor="accent3" w:themeTint="90" w:sz="4" w:space="0"/>
        <w:insideH w:val="single" w:color="c6d8a1" w:themeColor="accent3" w:themeTint="90" w:sz="4" w:space="0"/>
      </w:tblBorders>
    </w:tblPr>
    <w:tcPr>
      <w:tcBorders/>
    </w:tcPr>
    <w:tblStylePr w:type="band1Horz">
      <w:rPr>
        <w:sz w:val="22"/>
      </w:rPr>
      <w:pPr>
        <w:pBdr/>
        <w:spacing/>
        <w:ind/>
      </w:pPr>
      <w:tblPr>
        <w:tblBorders/>
      </w:tblPr>
      <w:tcPr>
        <w:shd w:val="clear" w:color="e5eed5" w:fill="e5eed5" w:themeFill="accent3" w:themeFillTint="40"/>
        <w:tcBorders/>
      </w:tcPr>
    </w:tblStylePr>
    <w:tblStylePr w:type="band1Vert">
      <w:rPr>
        <w:sz w:val="22"/>
      </w:rPr>
      <w:pPr>
        <w:pBdr/>
        <w:spacing/>
        <w:ind/>
      </w:pPr>
      <w:tblPr>
        <w:tblBorders/>
      </w:tblPr>
      <w:tcPr>
        <w:shd w:val="clear" w:color="e5eed5"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9bbb59" w:themeColor="accent3" w:sz="4" w:space="0"/>
          <w:left w:val="none" w:color="000000" w:sz="4" w:space="0"/>
          <w:bottom w:val="single" w:color="9bbb59" w:themeColor="accent3"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9bbb59" w:themeColor="accent3" w:sz="4" w:space="0"/>
          <w:left w:val="none" w:color="000000" w:sz="4" w:space="0"/>
          <w:bottom w:val="single" w:color="9bbb59" w:themeColor="accent3"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0" w:customStyle="1">
    <w:name w:val="List Table 2 - Accent 4"/>
    <w:basedOn w:val="892"/>
    <w:uiPriority w:val="99"/>
    <w:pPr>
      <w:pBdr/>
      <w:spacing/>
      <w:ind/>
    </w:pPr>
    <w:tblPr>
      <w:tblBorders>
        <w:top w:val="single" w:color="b7a7ca" w:themeColor="accent4" w:themeTint="90" w:sz="4" w:space="0"/>
        <w:bottom w:val="single" w:color="b7a7ca" w:themeColor="accent4" w:themeTint="90" w:sz="4" w:space="0"/>
        <w:insideH w:val="single" w:color="b7a7ca" w:themeColor="accent4" w:themeTint="90" w:sz="4" w:space="0"/>
      </w:tblBorders>
    </w:tblPr>
    <w:tcPr>
      <w:tcBorders/>
    </w:tcPr>
    <w:tblStylePr w:type="band1Horz">
      <w:rPr>
        <w:sz w:val="22"/>
      </w:rPr>
      <w:pPr>
        <w:pBdr/>
        <w:spacing/>
        <w:ind/>
      </w:pPr>
      <w:tblPr>
        <w:tblBorders/>
      </w:tblPr>
      <w:tcPr>
        <w:shd w:val="clear" w:color="dfd8e7" w:fill="dfd8e7" w:themeFill="accent4" w:themeFillTint="40"/>
        <w:tcBorders/>
      </w:tcPr>
    </w:tblStylePr>
    <w:tblStylePr w:type="band1Vert">
      <w:rPr>
        <w:sz w:val="22"/>
      </w:rPr>
      <w:pPr>
        <w:pBdr/>
        <w:spacing/>
        <w:ind/>
      </w:pPr>
      <w:tblPr>
        <w:tblBorders/>
      </w:tblPr>
      <w:tcPr>
        <w:shd w:val="clear" w:color="dfd8e7"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8064a2" w:themeColor="accent4" w:sz="4" w:space="0"/>
          <w:left w:val="none" w:color="000000" w:sz="4" w:space="0"/>
          <w:bottom w:val="single" w:color="8064a2" w:themeColor="accent4"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8064a2" w:themeColor="accent4" w:sz="4" w:space="0"/>
          <w:left w:val="none" w:color="000000" w:sz="4" w:space="0"/>
          <w:bottom w:val="single" w:color="8064a2" w:themeColor="accent4"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1" w:customStyle="1">
    <w:name w:val="List Table 2 - Accent 5"/>
    <w:basedOn w:val="892"/>
    <w:uiPriority w:val="99"/>
    <w:pPr>
      <w:pBdr/>
      <w:spacing/>
      <w:ind/>
    </w:pPr>
    <w:tblPr>
      <w:tblBorders>
        <w:top w:val="single" w:color="99d0de" w:themeColor="accent5" w:themeTint="90" w:sz="4" w:space="0"/>
        <w:bottom w:val="single" w:color="99d0de" w:themeColor="accent5" w:themeTint="90" w:sz="4" w:space="0"/>
        <w:insideH w:val="single" w:color="99d0de" w:themeColor="accent5" w:themeTint="90" w:sz="4" w:space="0"/>
      </w:tblBorders>
    </w:tblPr>
    <w:tcPr>
      <w:tcBorders/>
    </w:tcPr>
    <w:tblStylePr w:type="band1Horz">
      <w:rPr>
        <w:sz w:val="22"/>
      </w:rPr>
      <w:pPr>
        <w:pBdr/>
        <w:spacing/>
        <w:ind/>
      </w:pPr>
      <w:tblPr>
        <w:tblBorders/>
      </w:tblPr>
      <w:tcPr>
        <w:shd w:val="clear" w:color="d1eaf0" w:fill="d1eaf0" w:themeFill="accent5" w:themeFillTint="40"/>
        <w:tcBorders/>
      </w:tcPr>
    </w:tblStylePr>
    <w:tblStylePr w:type="band1Vert">
      <w:rPr>
        <w:sz w:val="22"/>
      </w:rPr>
      <w:pPr>
        <w:pBdr/>
        <w:spacing/>
        <w:ind/>
      </w:pPr>
      <w:tblPr>
        <w:tblBorders/>
      </w:tblPr>
      <w:tcPr>
        <w:shd w:val="clear" w:color="d1eaf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4bacc6" w:themeColor="accent5" w:sz="4" w:space="0"/>
          <w:left w:val="none" w:color="000000" w:sz="4" w:space="0"/>
          <w:bottom w:val="single" w:color="4bacc6" w:themeColor="accent5"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4bacc6" w:themeColor="accent5" w:sz="4" w:space="0"/>
          <w:left w:val="none" w:color="000000" w:sz="4" w:space="0"/>
          <w:bottom w:val="single" w:color="4bacc6" w:themeColor="accent5"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2" w:customStyle="1">
    <w:name w:val="List Table 2 - Accent 6"/>
    <w:basedOn w:val="892"/>
    <w:uiPriority w:val="99"/>
    <w:pPr>
      <w:pBdr/>
      <w:spacing/>
      <w:ind/>
    </w:pPr>
    <w:tblPr>
      <w:tblBorders>
        <w:top w:val="single" w:color="fac396" w:themeColor="accent6" w:themeTint="90" w:sz="4" w:space="0"/>
        <w:bottom w:val="single" w:color="fac396" w:themeColor="accent6" w:themeTint="90" w:sz="4" w:space="0"/>
        <w:insideH w:val="single" w:color="fac396" w:themeColor="accent6" w:themeTint="90" w:sz="4" w:space="0"/>
      </w:tblBorders>
    </w:tblPr>
    <w:tcPr>
      <w:tcBorders/>
    </w:tcPr>
    <w:tblStylePr w:type="band1Horz">
      <w:rPr>
        <w:sz w:val="22"/>
      </w:rPr>
      <w:pPr>
        <w:pBdr/>
        <w:spacing/>
        <w:ind/>
      </w:pPr>
      <w:tblPr>
        <w:tblBorders/>
      </w:tblPr>
      <w:tcPr>
        <w:shd w:val="clear" w:color="fde4d0" w:fill="fde4d0" w:themeFill="accent6" w:themeFillTint="40"/>
        <w:tcBorders/>
      </w:tcPr>
    </w:tblStylePr>
    <w:tblStylePr w:type="band1Vert">
      <w:rPr>
        <w:sz w:val="22"/>
      </w:rPr>
      <w:pPr>
        <w:pBdr/>
        <w:spacing/>
        <w:ind/>
      </w:pPr>
      <w:tblPr>
        <w:tblBorders/>
      </w:tblPr>
      <w:tcPr>
        <w:shd w:val="clear" w:color="fde4d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f79646" w:themeColor="accent6" w:sz="4" w:space="0"/>
          <w:left w:val="none" w:color="000000" w:sz="4" w:space="0"/>
          <w:bottom w:val="single" w:color="f79646" w:themeColor="accent6"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f79646" w:themeColor="accent6" w:sz="4" w:space="0"/>
          <w:left w:val="none" w:color="000000" w:sz="4" w:space="0"/>
          <w:bottom w:val="single" w:color="f79646" w:themeColor="accent6"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3" w:customStyle="1">
    <w:name w:val="Tabela de Lista 31"/>
    <w:basedOn w:val="892"/>
    <w:uiPriority w:val="99"/>
    <w:pPr>
      <w:pBdr/>
      <w:spacing/>
      <w:ind/>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sz w:val="22"/>
      </w:rPr>
      <w:pPr>
        <w:pBdr/>
        <w:spacing/>
        <w:ind/>
      </w:pPr>
      <w:tblPr>
        <w:tblBorders/>
      </w:tblPr>
      <w:tcPr>
        <w:tcBorders>
          <w:top w:val="single" w:color="000000" w:themeColor="text1" w:sz="4" w:space="0"/>
          <w:bottom w:val="single" w:color="000000" w:themeColor="text1" w:sz="4" w:space="0"/>
        </w:tcBorders>
      </w:tcPr>
    </w:tblStylePr>
    <w:tblStylePr w:type="band1Vert">
      <w:rPr>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000000"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4" w:customStyle="1">
    <w:name w:val="List Table 3 - Accent 1"/>
    <w:basedOn w:val="892"/>
    <w:uiPriority w:val="99"/>
    <w:pPr>
      <w:pBdr/>
      <w:spacing/>
      <w:ind/>
    </w:pPr>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cPr>
      <w:tcBorders/>
    </w:tcPr>
    <w:tblStylePr w:type="band1Horz">
      <w:rPr>
        <w:sz w:val="22"/>
      </w:rPr>
      <w:pPr>
        <w:pBdr/>
        <w:spacing/>
        <w:ind/>
      </w:pPr>
      <w:tblPr>
        <w:tblBorders/>
      </w:tblPr>
      <w:tcPr>
        <w:tcBorders>
          <w:top w:val="single" w:color="4f81bd" w:themeColor="accent1" w:sz="4" w:space="0"/>
          <w:bottom w:val="single" w:color="4f81bd" w:themeColor="accent1" w:sz="4" w:space="0"/>
        </w:tcBorders>
      </w:tcPr>
    </w:tblStylePr>
    <w:tblStylePr w:type="band1Vert">
      <w:rPr>
        <w:sz w:val="22"/>
      </w:rPr>
      <w:pPr>
        <w:pBdr/>
        <w:spacing/>
        <w:ind/>
      </w:pPr>
      <w:tblPr>
        <w:tblBorders/>
      </w:tblPr>
      <w:tcPr>
        <w:tcBorders>
          <w:left w:val="single" w:color="4f81bd" w:themeColor="accent1" w:sz="4" w:space="0"/>
          <w:right w:val="single" w:color="4f81bd"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4f81bd" w:fill="4f81bd"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5" w:customStyle="1">
    <w:name w:val="List Table 3 - Accent 2"/>
    <w:basedOn w:val="892"/>
    <w:uiPriority w:val="99"/>
    <w:pPr>
      <w:pBdr/>
      <w:spacing/>
      <w:ind/>
    </w:pPr>
    <w:tblPr>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cPr>
      <w:tcBorders/>
    </w:tcPr>
    <w:tblStylePr w:type="band1Horz">
      <w:rPr>
        <w:sz w:val="22"/>
      </w:rPr>
      <w:pPr>
        <w:pBdr/>
        <w:spacing/>
        <w:ind/>
      </w:pPr>
      <w:tblPr>
        <w:tblBorders/>
      </w:tblPr>
      <w:tcPr>
        <w:tcBorders>
          <w:top w:val="single" w:color="c0504d" w:themeColor="accent2" w:sz="4" w:space="0"/>
          <w:bottom w:val="single" w:color="c0504d" w:themeColor="accent2" w:sz="4" w:space="0"/>
        </w:tcBorders>
      </w:tcPr>
    </w:tblStylePr>
    <w:tblStylePr w:type="band1Vert">
      <w:rPr>
        <w:sz w:val="22"/>
      </w:rPr>
      <w:pPr>
        <w:pBdr/>
        <w:spacing/>
        <w:ind/>
      </w:pPr>
      <w:tblPr>
        <w:tblBorders/>
      </w:tblPr>
      <w:tcPr>
        <w:tcBorders>
          <w:left w:val="single" w:color="c0504d" w:themeColor="accent2" w:sz="4" w:space="0"/>
          <w:right w:val="single" w:color="c0504d" w:themeColor="accent2"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d99695" w:fill="d99695" w:themeFill="accent2" w:themeFillTint="97"/>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6" w:customStyle="1">
    <w:name w:val="List Table 3 - Accent 3"/>
    <w:basedOn w:val="892"/>
    <w:uiPriority w:val="99"/>
    <w:pPr>
      <w:pBdr/>
      <w:spacing/>
      <w:ind/>
    </w:pPr>
    <w:tblPr>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cPr>
      <w:tcBorders/>
    </w:tcPr>
    <w:tblStylePr w:type="band1Horz">
      <w:rPr>
        <w:sz w:val="22"/>
      </w:rPr>
      <w:pPr>
        <w:pBdr/>
        <w:spacing/>
        <w:ind/>
      </w:pPr>
      <w:tblPr>
        <w:tblBorders/>
      </w:tblPr>
      <w:tcPr>
        <w:tcBorders>
          <w:top w:val="single" w:color="9bbb59" w:themeColor="accent3" w:sz="4" w:space="0"/>
          <w:bottom w:val="single" w:color="9bbb59" w:themeColor="accent3" w:sz="4" w:space="0"/>
        </w:tcBorders>
      </w:tcPr>
    </w:tblStylePr>
    <w:tblStylePr w:type="band1Vert">
      <w:rPr>
        <w:sz w:val="22"/>
      </w:rPr>
      <w:pPr>
        <w:pBdr/>
        <w:spacing/>
        <w:ind/>
      </w:pPr>
      <w:tblPr>
        <w:tblBorders/>
      </w:tblPr>
      <w:tcPr>
        <w:tcBorders>
          <w:left w:val="single" w:color="9bbb59" w:themeColor="accent3" w:sz="4" w:space="0"/>
          <w:right w:val="single" w:color="9bbb59" w:themeColor="accent3"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c3d69b" w:fill="c3d69b" w:themeFill="accent3"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7" w:customStyle="1">
    <w:name w:val="List Table 3 - Accent 4"/>
    <w:basedOn w:val="892"/>
    <w:uiPriority w:val="99"/>
    <w:pPr>
      <w:pBdr/>
      <w:spacing/>
      <w:ind/>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cPr>
      <w:tcBorders/>
    </w:tcPr>
    <w:tblStylePr w:type="band1Horz">
      <w:rPr>
        <w:sz w:val="22"/>
      </w:rPr>
      <w:pPr>
        <w:pBdr/>
        <w:spacing/>
        <w:ind/>
      </w:pPr>
      <w:tblPr>
        <w:tblBorders/>
      </w:tblPr>
      <w:tcPr>
        <w:tcBorders>
          <w:top w:val="single" w:color="8064a2" w:themeColor="accent4" w:sz="4" w:space="0"/>
          <w:bottom w:val="single" w:color="8064a2" w:themeColor="accent4" w:sz="4" w:space="0"/>
        </w:tcBorders>
      </w:tcPr>
    </w:tblStylePr>
    <w:tblStylePr w:type="band1Vert">
      <w:rPr>
        <w:sz w:val="22"/>
      </w:rPr>
      <w:pPr>
        <w:pBdr/>
        <w:spacing/>
        <w:ind/>
      </w:pPr>
      <w:tblPr>
        <w:tblBorders/>
      </w:tblPr>
      <w:tcPr>
        <w:tcBorders>
          <w:left w:val="single" w:color="8064a2" w:themeColor="accent4" w:sz="4" w:space="0"/>
          <w:right w:val="single" w:color="8064a2" w:themeColor="accent4"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b2a1c6" w:fill="b2a1c6" w:themeFill="accent4"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8" w:customStyle="1">
    <w:name w:val="List Table 3 - Accent 5"/>
    <w:basedOn w:val="892"/>
    <w:uiPriority w:val="99"/>
    <w:pPr>
      <w:pBdr/>
      <w:spacing/>
      <w:ind/>
    </w:pPr>
    <w:tblPr>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cPr>
      <w:tcBorders/>
    </w:tcPr>
    <w:tblStylePr w:type="band1Horz">
      <w:rPr>
        <w:sz w:val="22"/>
      </w:rPr>
      <w:pPr>
        <w:pBdr/>
        <w:spacing/>
        <w:ind/>
      </w:pPr>
      <w:tblPr>
        <w:tblBorders/>
      </w:tblPr>
      <w:tcPr>
        <w:tcBorders>
          <w:top w:val="single" w:color="4bacc6" w:themeColor="accent5" w:sz="4" w:space="0"/>
          <w:bottom w:val="single" w:color="4bacc6" w:themeColor="accent5" w:sz="4" w:space="0"/>
        </w:tcBorders>
      </w:tcPr>
    </w:tblStylePr>
    <w:tblStylePr w:type="band1Vert">
      <w:rPr>
        <w:sz w:val="22"/>
      </w:rPr>
      <w:pPr>
        <w:pBdr/>
        <w:spacing/>
        <w:ind/>
      </w:pPr>
      <w:tblPr>
        <w:tblBorders/>
      </w:tblPr>
      <w:tcPr>
        <w:tcBorders>
          <w:left w:val="single" w:color="4bacc6" w:themeColor="accent5" w:sz="4" w:space="0"/>
          <w:right w:val="single" w:color="4bacc6" w:themeColor="accent5"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92ccdc" w:fill="92ccdc" w:themeFill="accent5"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9" w:customStyle="1">
    <w:name w:val="List Table 3 - Accent 6"/>
    <w:basedOn w:val="892"/>
    <w:uiPriority w:val="99"/>
    <w:pPr>
      <w:pBdr/>
      <w:spacing/>
      <w:ind/>
    </w:pPr>
    <w:tblPr>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cPr>
      <w:tcBorders/>
    </w:tcPr>
    <w:tblStylePr w:type="band1Horz">
      <w:rPr>
        <w:sz w:val="22"/>
      </w:rPr>
      <w:pPr>
        <w:pBdr/>
        <w:spacing/>
        <w:ind/>
      </w:pPr>
      <w:tblPr>
        <w:tblBorders/>
      </w:tblPr>
      <w:tcPr>
        <w:tcBorders>
          <w:top w:val="single" w:color="f79646" w:themeColor="accent6" w:sz="4" w:space="0"/>
          <w:bottom w:val="single" w:color="f79646" w:themeColor="accent6" w:sz="4" w:space="0"/>
        </w:tcBorders>
      </w:tcPr>
    </w:tblStylePr>
    <w:tblStylePr w:type="band1Vert">
      <w:rPr>
        <w:sz w:val="22"/>
      </w:rPr>
      <w:pPr>
        <w:pBdr/>
        <w:spacing/>
        <w:ind/>
      </w:pPr>
      <w:tblPr>
        <w:tblBorders/>
      </w:tblPr>
      <w:tcPr>
        <w:tcBorders>
          <w:left w:val="single" w:color="f79646" w:themeColor="accent6" w:sz="4" w:space="0"/>
          <w:right w:val="single" w:color="f79646" w:themeColor="accent6"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ac090" w:fill="fac090" w:themeFill="accent6"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0" w:customStyle="1">
    <w:name w:val="Tabela de Lista 41"/>
    <w:basedOn w:val="892"/>
    <w:uiPriority w:val="99"/>
    <w:pPr>
      <w:pBdr/>
      <w:spacing/>
      <w:ind/>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sz w:val="22"/>
      </w:rPr>
      <w:pPr>
        <w:pBdr/>
        <w:spacing/>
        <w:ind/>
      </w:pPr>
      <w:tblPr>
        <w:tblBorders/>
      </w:tblPr>
      <w:tcPr>
        <w:shd w:val="clear" w:color="bfbfbf" w:fill="bfbfbf" w:themeFill="text1" w:themeFillTint="40"/>
        <w:tcBorders/>
      </w:tcPr>
    </w:tblStylePr>
    <w:tblStylePr w:type="band1Vert">
      <w:rPr>
        <w:sz w:val="22"/>
      </w:rPr>
      <w:pPr>
        <w:pBdr/>
        <w:spacing/>
        <w:ind/>
      </w:pPr>
      <w:tblPr>
        <w:tblBorders/>
      </w:tblPr>
      <w:tcPr>
        <w:shd w:val="clear" w:color="bfbfb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000000"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1" w:customStyle="1">
    <w:name w:val="List Table 4 - Accent 1"/>
    <w:basedOn w:val="892"/>
    <w:uiPriority w:val="99"/>
    <w:pPr>
      <w:pBdr/>
      <w:spacing/>
      <w:ind/>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cPr>
      <w:tcBorders/>
    </w:tcPr>
    <w:tblStylePr w:type="band1Horz">
      <w:rPr>
        <w:sz w:val="22"/>
      </w:rPr>
      <w:pPr>
        <w:pBdr/>
        <w:spacing/>
        <w:ind/>
      </w:pPr>
      <w:tblPr>
        <w:tblBorders/>
      </w:tblPr>
      <w:tcPr>
        <w:shd w:val="clear" w:color="d2dfee" w:fill="d2dfee" w:themeFill="accent1" w:themeFillTint="40"/>
        <w:tcBorders/>
      </w:tcPr>
    </w:tblStylePr>
    <w:tblStylePr w:type="band1Vert">
      <w:rPr>
        <w:sz w:val="22"/>
      </w:rPr>
      <w:pPr>
        <w:pBdr/>
        <w:spacing/>
        <w:ind/>
      </w:pPr>
      <w:tblPr>
        <w:tblBorders/>
      </w:tblPr>
      <w:tcPr>
        <w:shd w:val="clear" w:color="d2dfee" w:fill="d2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4f81bd" w:fill="4f81bd"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2" w:customStyle="1">
    <w:name w:val="List Table 4 - Accent 2"/>
    <w:basedOn w:val="892"/>
    <w:uiPriority w:val="99"/>
    <w:pPr>
      <w:pBdr/>
      <w:spacing/>
      <w:ind/>
    </w:pPr>
    <w:tblPr>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cPr>
      <w:tcBorders/>
    </w:tcPr>
    <w:tblStylePr w:type="band1Horz">
      <w:rPr>
        <w:sz w:val="22"/>
      </w:rPr>
      <w:pPr>
        <w:pBdr/>
        <w:spacing/>
        <w:ind/>
      </w:pPr>
      <w:tblPr>
        <w:tblBorders/>
      </w:tblPr>
      <w:tcPr>
        <w:shd w:val="clear" w:color="efd2d2" w:fill="efd2d2" w:themeFill="accent2" w:themeFillTint="40"/>
        <w:tcBorders/>
      </w:tcPr>
    </w:tblStylePr>
    <w:tblStylePr w:type="band1Vert">
      <w:rPr>
        <w:sz w:val="22"/>
      </w:rPr>
      <w:pPr>
        <w:pBdr/>
        <w:spacing/>
        <w:ind/>
      </w:pPr>
      <w:tblPr>
        <w:tblBorders/>
      </w:tblPr>
      <w:tcPr>
        <w:shd w:val="clear" w:color="efd2d2" w:fill="efd2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c0504d" w:fill="c0504d" w:themeFill="accent2"/>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3" w:customStyle="1">
    <w:name w:val="List Table 4 - Accent 3"/>
    <w:basedOn w:val="892"/>
    <w:uiPriority w:val="99"/>
    <w:pPr>
      <w:pBdr/>
      <w:spacing/>
      <w:ind/>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cPr>
      <w:tcBorders/>
    </w:tcPr>
    <w:tblStylePr w:type="band1Horz">
      <w:rPr>
        <w:sz w:val="22"/>
      </w:rPr>
      <w:pPr>
        <w:pBdr/>
        <w:spacing/>
        <w:ind/>
      </w:pPr>
      <w:tblPr>
        <w:tblBorders/>
      </w:tblPr>
      <w:tcPr>
        <w:shd w:val="clear" w:color="e5eed5" w:fill="e5eed5" w:themeFill="accent3" w:themeFillTint="40"/>
        <w:tcBorders/>
      </w:tcPr>
    </w:tblStylePr>
    <w:tblStylePr w:type="band1Vert">
      <w:rPr>
        <w:sz w:val="22"/>
      </w:rPr>
      <w:pPr>
        <w:pBdr/>
        <w:spacing/>
        <w:ind/>
      </w:pPr>
      <w:tblPr>
        <w:tblBorders/>
      </w:tblPr>
      <w:tcPr>
        <w:shd w:val="clear" w:color="e5eed5" w:fill="e5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9bbb59" w:fill="9bbb59" w:themeFill="accent3"/>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4" w:customStyle="1">
    <w:name w:val="List Table 4 - Accent 4"/>
    <w:basedOn w:val="892"/>
    <w:uiPriority w:val="99"/>
    <w:pPr>
      <w:pBdr/>
      <w:spacing/>
      <w:ind/>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cPr>
      <w:tcBorders/>
    </w:tcPr>
    <w:tblStylePr w:type="band1Horz">
      <w:rPr>
        <w:sz w:val="22"/>
      </w:rPr>
      <w:pPr>
        <w:pBdr/>
        <w:spacing/>
        <w:ind/>
      </w:pPr>
      <w:tblPr>
        <w:tblBorders/>
      </w:tblPr>
      <w:tcPr>
        <w:shd w:val="clear" w:color="dfd8e7" w:fill="dfd8e7" w:themeFill="accent4" w:themeFillTint="40"/>
        <w:tcBorders/>
      </w:tcPr>
    </w:tblStylePr>
    <w:tblStylePr w:type="band1Vert">
      <w:rPr>
        <w:sz w:val="22"/>
      </w:rPr>
      <w:pPr>
        <w:pBdr/>
        <w:spacing/>
        <w:ind/>
      </w:pPr>
      <w:tblPr>
        <w:tblBorders/>
      </w:tblPr>
      <w:tcPr>
        <w:shd w:val="clear" w:color="dfd8e7"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8064a2" w:fill="8064a2" w:themeFill="accent4"/>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5" w:customStyle="1">
    <w:name w:val="List Table 4 - Accent 5"/>
    <w:basedOn w:val="892"/>
    <w:uiPriority w:val="99"/>
    <w:pPr>
      <w:pBdr/>
      <w:spacing/>
      <w:ind/>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cPr>
      <w:tcBorders/>
    </w:tcPr>
    <w:tblStylePr w:type="band1Horz">
      <w:rPr>
        <w:sz w:val="22"/>
      </w:rPr>
      <w:pPr>
        <w:pBdr/>
        <w:spacing/>
        <w:ind/>
      </w:pPr>
      <w:tblPr>
        <w:tblBorders/>
      </w:tblPr>
      <w:tcPr>
        <w:shd w:val="clear" w:color="d1eaf0" w:fill="d1eaf0" w:themeFill="accent5" w:themeFillTint="40"/>
        <w:tcBorders/>
      </w:tcPr>
    </w:tblStylePr>
    <w:tblStylePr w:type="band1Vert">
      <w:rPr>
        <w:sz w:val="22"/>
      </w:rPr>
      <w:pPr>
        <w:pBdr/>
        <w:spacing/>
        <w:ind/>
      </w:pPr>
      <w:tblPr>
        <w:tblBorders/>
      </w:tblPr>
      <w:tcPr>
        <w:shd w:val="clear" w:color="d1eaf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4bacc6" w:fill="4bacc6" w:themeFill="accent5"/>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6" w:customStyle="1">
    <w:name w:val="List Table 4 - Accent 6"/>
    <w:basedOn w:val="892"/>
    <w:uiPriority w:val="99"/>
    <w:pPr>
      <w:pBdr/>
      <w:spacing/>
      <w:ind/>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cPr>
      <w:tcBorders/>
    </w:tcPr>
    <w:tblStylePr w:type="band1Horz">
      <w:rPr>
        <w:sz w:val="22"/>
      </w:rPr>
      <w:pPr>
        <w:pBdr/>
        <w:spacing/>
        <w:ind/>
      </w:pPr>
      <w:tblPr>
        <w:tblBorders/>
      </w:tblPr>
      <w:tcPr>
        <w:shd w:val="clear" w:color="fde4d0" w:fill="fde4d0" w:themeFill="accent6" w:themeFillTint="40"/>
        <w:tcBorders/>
      </w:tcPr>
    </w:tblStylePr>
    <w:tblStylePr w:type="band1Vert">
      <w:rPr>
        <w:sz w:val="22"/>
      </w:rPr>
      <w:pPr>
        <w:pBdr/>
        <w:spacing/>
        <w:ind/>
      </w:pPr>
      <w:tblPr>
        <w:tblBorders/>
      </w:tblPr>
      <w:tcPr>
        <w:shd w:val="clear" w:color="fde4d0" w:fill="fde4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79646" w:fill="f79646" w:themeFill="accent6"/>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7" w:customStyle="1">
    <w:name w:val="Tabela de Lista 5 Escura1"/>
    <w:basedOn w:val="892"/>
    <w:uiPriority w:val="99"/>
    <w:pPr>
      <w:pBdr/>
      <w:spacing/>
      <w:ind/>
    </w:pPr>
    <w:tblPr>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cPr>
      <w:tcBorders/>
    </w:tcPr>
    <w:tblStylePr w:type="band1Horz">
      <w:pPr>
        <w:pBdr/>
        <w:spacing/>
        <w:ind/>
      </w:pPr>
      <w:tblPr>
        <w:tblBorders/>
      </w:tblPr>
      <w:tcPr>
        <w:shd w:val="clear" w:color="7f7f7f"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b/>
        <w:color w:val="ffffff" w:themeColor="light1"/>
        <w:sz w:val="22"/>
      </w:rPr>
      <w:pPr>
        <w:pBdr/>
        <w:spacing/>
        <w:ind/>
      </w:pPr>
      <w:tblPr>
        <w:tblBorders/>
      </w:tblPr>
      <w:tcPr>
        <w:tcBorders>
          <w:left w:val="single" w:color="000000" w:themeColor="text1" w:sz="32" w:space="0"/>
          <w:right w:val="single" w:color="ffffff" w:themeColor="light1" w:sz="4" w:space="0"/>
        </w:tcBorders>
      </w:tcPr>
    </w:tblStylePr>
    <w:tblStylePr w:type="firstRow">
      <w:rPr>
        <w:b/>
        <w:color w:val="ffffff" w:themeColor="light1"/>
        <w:sz w:val="22"/>
      </w:rPr>
      <w:pPr>
        <w:pBdr/>
        <w:spacing/>
        <w:ind/>
      </w:pPr>
      <w:tblPr>
        <w:tblBorders/>
      </w:tblPr>
      <w:tcPr>
        <w:shd w:val="clear" w:color="7f7f7f" w:fill="7f7f7f" w:themeFill="text1" w:themeFillTint="80"/>
        <w:tcBorders>
          <w:top w:val="single" w:color="000000" w:themeColor="tex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000000" w:themeColor="tex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8" w:customStyle="1">
    <w:name w:val="List Table 5 Dark - Accent 1"/>
    <w:basedOn w:val="892"/>
    <w:uiPriority w:val="99"/>
    <w:pPr>
      <w:pBdr/>
      <w:spacing/>
      <w:ind/>
    </w:pPr>
    <w:tblPr>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cPr>
      <w:tcBorders/>
    </w:tcPr>
    <w:tblStylePr w:type="band1Horz">
      <w:pPr>
        <w:pBdr/>
        <w:spacing/>
        <w:ind/>
      </w:pPr>
      <w:tblPr>
        <w:tblBorders/>
      </w:tblPr>
      <w:tcPr>
        <w:shd w:val="clear" w:color="4f81bd" w:fill="4f81bd"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4f81bd" w:fill="4f81bd"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4f81bd" w:fill="4f81bd"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b/>
        <w:color w:val="ffffff" w:themeColor="light1"/>
        <w:sz w:val="22"/>
      </w:rPr>
      <w:pPr>
        <w:pBdr/>
        <w:spacing/>
        <w:ind/>
      </w:pPr>
      <w:tblPr>
        <w:tblBorders/>
      </w:tblPr>
      <w:tcPr>
        <w:tcBorders>
          <w:left w:val="single" w:color="4f81bd" w:themeColor="accent1" w:sz="32" w:space="0"/>
          <w:right w:val="single" w:color="ffffff" w:themeColor="light1" w:sz="4" w:space="0"/>
        </w:tcBorders>
      </w:tcPr>
    </w:tblStylePr>
    <w:tblStylePr w:type="firstRow">
      <w:rPr>
        <w:b/>
        <w:color w:val="ffffff" w:themeColor="light1"/>
        <w:sz w:val="22"/>
      </w:rPr>
      <w:pPr>
        <w:pBdr/>
        <w:spacing/>
        <w:ind/>
      </w:pPr>
      <w:tblPr>
        <w:tblBorders/>
      </w:tblPr>
      <w:tcPr>
        <w:shd w:val="clear" w:color="4f81bd" w:fill="4f81bd" w:themeFill="accent1"/>
        <w:tcBorders>
          <w:top w:val="single" w:color="4f81bd"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f81bd" w:themeColor="accen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9" w:customStyle="1">
    <w:name w:val="List Table 5 Dark - Accent 2"/>
    <w:basedOn w:val="892"/>
    <w:uiPriority w:val="99"/>
    <w:pPr>
      <w:pBdr/>
      <w:spacing/>
      <w:ind/>
    </w:pPr>
    <w:tblPr>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tblPr>
    <w:tcPr>
      <w:tcBorders/>
    </w:tcPr>
    <w:tblStylePr w:type="band1Horz">
      <w:pPr>
        <w:pBdr/>
        <w:spacing/>
        <w:ind/>
      </w:pPr>
      <w:tblPr>
        <w:tblBorders/>
      </w:tblPr>
      <w:tcPr>
        <w:shd w:val="clear" w:color="d99695" w:fill="d99695"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d99695" w:fill="d99695"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d99695" w:fill="d99695"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b/>
        <w:color w:val="ffffff" w:themeColor="light1"/>
        <w:sz w:val="22"/>
      </w:rPr>
      <w:pPr>
        <w:pBdr/>
        <w:spacing/>
        <w:ind/>
      </w:pPr>
      <w:tblPr>
        <w:tblBorders/>
      </w:tblPr>
      <w:tcPr>
        <w:tcBorders>
          <w:left w:val="single" w:color="c0504d" w:themeColor="accent2" w:sz="32" w:space="0"/>
          <w:right w:val="single" w:color="ffffff" w:themeColor="light1" w:sz="4" w:space="0"/>
        </w:tcBorders>
      </w:tcPr>
    </w:tblStylePr>
    <w:tblStylePr w:type="firstRow">
      <w:rPr>
        <w:b/>
        <w:color w:val="ffffff" w:themeColor="light1"/>
        <w:sz w:val="22"/>
      </w:rPr>
      <w:pPr>
        <w:pBdr/>
        <w:spacing/>
        <w:ind/>
      </w:pPr>
      <w:tblPr>
        <w:tblBorders/>
      </w:tblPr>
      <w:tcPr>
        <w:shd w:val="clear" w:color="d99695" w:fill="d99695" w:themeFill="accent2" w:themeFillTint="97"/>
        <w:tcBorders>
          <w:top w:val="single" w:color="c0504d" w:themeColor="accent2"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0504d" w:themeColor="accent2"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0" w:customStyle="1">
    <w:name w:val="List Table 5 Dark - Accent 3"/>
    <w:basedOn w:val="892"/>
    <w:uiPriority w:val="99"/>
    <w:pPr>
      <w:pBdr/>
      <w:spacing/>
      <w:ind/>
    </w:pPr>
    <w:tblPr>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tblPr>
    <w:tcPr>
      <w:tcBorders/>
    </w:tcPr>
    <w:tblStylePr w:type="band1Horz">
      <w:pPr>
        <w:pBdr/>
        <w:spacing/>
        <w:ind/>
      </w:pPr>
      <w:tblPr>
        <w:tblBorders/>
      </w:tblPr>
      <w:tcPr>
        <w:shd w:val="clear" w:color="c3d69b" w:fill="c3d69b"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3d69b" w:fill="c3d69b"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3d69b" w:fill="c3d69b"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b/>
        <w:color w:val="ffffff" w:themeColor="light1"/>
        <w:sz w:val="22"/>
      </w:rPr>
      <w:pPr>
        <w:pBdr/>
        <w:spacing/>
        <w:ind/>
      </w:pPr>
      <w:tblPr>
        <w:tblBorders/>
      </w:tblPr>
      <w:tcPr>
        <w:tcBorders>
          <w:left w:val="single" w:color="9bbb59" w:themeColor="accent3" w:sz="32" w:space="0"/>
          <w:right w:val="single" w:color="ffffff" w:themeColor="light1" w:sz="4" w:space="0"/>
        </w:tcBorders>
      </w:tcPr>
    </w:tblStylePr>
    <w:tblStylePr w:type="firstRow">
      <w:rPr>
        <w:b/>
        <w:color w:val="ffffff" w:themeColor="light1"/>
        <w:sz w:val="22"/>
      </w:rPr>
      <w:pPr>
        <w:pBdr/>
        <w:spacing/>
        <w:ind/>
      </w:pPr>
      <w:tblPr>
        <w:tblBorders/>
      </w:tblPr>
      <w:tcPr>
        <w:shd w:val="clear" w:color="c3d69b" w:fill="c3d69b" w:themeFill="accent3" w:themeFillTint="98"/>
        <w:tcBorders>
          <w:top w:val="single" w:color="9bbb59" w:themeColor="accent3"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9bbb59" w:themeColor="accent3"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1" w:customStyle="1">
    <w:name w:val="List Table 5 Dark - Accent 4"/>
    <w:basedOn w:val="892"/>
    <w:uiPriority w:val="99"/>
    <w:pPr>
      <w:pBdr/>
      <w:spacing/>
      <w:ind/>
    </w:pPr>
    <w:tblPr>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cPr>
      <w:tcBorders/>
    </w:tcPr>
    <w:tblStylePr w:type="band1Horz">
      <w:pPr>
        <w:pBdr/>
        <w:spacing/>
        <w:ind/>
      </w:pPr>
      <w:tblPr>
        <w:tblBorders/>
      </w:tblPr>
      <w:tcPr>
        <w:shd w:val="clear" w:color="b2a1c6" w:fill="b2a1c6"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b2a1c6" w:fill="b2a1c6"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b2a1c6" w:fill="b2a1c6"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b/>
        <w:color w:val="ffffff" w:themeColor="light1"/>
        <w:sz w:val="22"/>
      </w:rPr>
      <w:pPr>
        <w:pBdr/>
        <w:spacing/>
        <w:ind/>
      </w:pPr>
      <w:tblPr>
        <w:tblBorders/>
      </w:tblPr>
      <w:tcPr>
        <w:tcBorders>
          <w:left w:val="single" w:color="8064a2" w:themeColor="accent4" w:sz="32" w:space="0"/>
          <w:right w:val="single" w:color="ffffff" w:themeColor="light1" w:sz="4" w:space="0"/>
        </w:tcBorders>
      </w:tcPr>
    </w:tblStylePr>
    <w:tblStylePr w:type="firstRow">
      <w:rPr>
        <w:b/>
        <w:color w:val="ffffff" w:themeColor="light1"/>
        <w:sz w:val="22"/>
      </w:rPr>
      <w:pPr>
        <w:pBdr/>
        <w:spacing/>
        <w:ind/>
      </w:pPr>
      <w:tblPr>
        <w:tblBorders/>
      </w:tblPr>
      <w:tcPr>
        <w:shd w:val="clear" w:color="b2a1c6" w:fill="b2a1c6" w:themeFill="accent4" w:themeFillTint="9A"/>
        <w:tcBorders>
          <w:top w:val="single" w:color="8064a2" w:themeColor="accent4"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8064a2" w:themeColor="accent4"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2" w:customStyle="1">
    <w:name w:val="List Table 5 Dark - Accent 5"/>
    <w:basedOn w:val="892"/>
    <w:uiPriority w:val="99"/>
    <w:pPr>
      <w:pBdr/>
      <w:spacing/>
      <w:ind/>
    </w:pPr>
    <w:tblPr>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cPr>
      <w:tcBorders/>
    </w:tcPr>
    <w:tblStylePr w:type="band1Horz">
      <w:pPr>
        <w:pBdr/>
        <w:spacing/>
        <w:ind/>
      </w:pPr>
      <w:tblPr>
        <w:tblBorders/>
      </w:tblPr>
      <w:tcPr>
        <w:shd w:val="clear" w:color="92ccdc" w:fill="92ccdc"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92ccdc" w:fill="92ccdc"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92ccdc" w:fill="92ccdc"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b/>
        <w:color w:val="ffffff" w:themeColor="light1"/>
        <w:sz w:val="22"/>
      </w:rPr>
      <w:pPr>
        <w:pBdr/>
        <w:spacing/>
        <w:ind/>
      </w:pPr>
      <w:tblPr>
        <w:tblBorders/>
      </w:tblPr>
      <w:tcPr>
        <w:tcBorders>
          <w:left w:val="single" w:color="4bacc6" w:themeColor="accent5" w:sz="32" w:space="0"/>
          <w:right w:val="single" w:color="ffffff" w:themeColor="light1" w:sz="4" w:space="0"/>
        </w:tcBorders>
      </w:tcPr>
    </w:tblStylePr>
    <w:tblStylePr w:type="firstRow">
      <w:rPr>
        <w:b/>
        <w:color w:val="ffffff" w:themeColor="light1"/>
        <w:sz w:val="22"/>
      </w:rPr>
      <w:pPr>
        <w:pBdr/>
        <w:spacing/>
        <w:ind/>
      </w:pPr>
      <w:tblPr>
        <w:tblBorders/>
      </w:tblPr>
      <w:tcPr>
        <w:shd w:val="clear" w:color="92ccdc" w:fill="92ccdc" w:themeFill="accent5" w:themeFillTint="9A"/>
        <w:tcBorders>
          <w:top w:val="single" w:color="4bacc6" w:themeColor="accent5"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bacc6" w:themeColor="accent5"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3" w:customStyle="1">
    <w:name w:val="List Table 5 Dark - Accent 6"/>
    <w:basedOn w:val="892"/>
    <w:uiPriority w:val="99"/>
    <w:pPr>
      <w:pBdr/>
      <w:spacing/>
      <w:ind/>
    </w:pPr>
    <w:tblPr>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cPr>
      <w:tcBorders/>
    </w:tcPr>
    <w:tblStylePr w:type="band1Horz">
      <w:pPr>
        <w:pBdr/>
        <w:spacing/>
        <w:ind/>
      </w:pPr>
      <w:tblPr>
        <w:tblBorders/>
      </w:tblPr>
      <w:tcPr>
        <w:shd w:val="clear" w:color="fac090" w:fill="fac090"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fac090" w:fill="fac090"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fac090" w:fill="fac090"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b/>
        <w:color w:val="ffffff" w:themeColor="light1"/>
        <w:sz w:val="22"/>
      </w:rPr>
      <w:pPr>
        <w:pBdr/>
        <w:spacing/>
        <w:ind/>
      </w:pPr>
      <w:tblPr>
        <w:tblBorders/>
      </w:tblPr>
      <w:tcPr>
        <w:tcBorders>
          <w:left w:val="single" w:color="f79646" w:themeColor="accent6" w:sz="32" w:space="0"/>
          <w:right w:val="single" w:color="ffffff" w:themeColor="light1" w:sz="4" w:space="0"/>
        </w:tcBorders>
      </w:tcPr>
    </w:tblStylePr>
    <w:tblStylePr w:type="firstRow">
      <w:rPr>
        <w:b/>
        <w:color w:val="ffffff" w:themeColor="light1"/>
        <w:sz w:val="22"/>
      </w:rPr>
      <w:pPr>
        <w:pBdr/>
        <w:spacing/>
        <w:ind/>
      </w:pPr>
      <w:tblPr>
        <w:tblBorders/>
      </w:tblPr>
      <w:tcPr>
        <w:shd w:val="clear" w:color="fac090" w:fill="fac090" w:themeFill="accent6" w:themeFillTint="98"/>
        <w:tcBorders>
          <w:top w:val="single" w:color="f79646" w:themeColor="accent6"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79646" w:themeColor="accent6"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4" w:customStyle="1">
    <w:name w:val="Tabela de Lista 6 Colorida1"/>
    <w:basedOn w:val="892"/>
    <w:uiPriority w:val="99"/>
    <w:pPr>
      <w:pBdr/>
      <w:spacing/>
      <w:ind/>
    </w:pPr>
    <w:tblPr>
      <w:tblBorders>
        <w:top w:val="single" w:color="7f7f7f" w:themeColor="text1" w:themeTint="80" w:sz="4" w:space="0"/>
        <w:bottom w:val="single" w:color="7f7f7f" w:themeColor="text1" w:themeTint="80" w:sz="4" w:space="0"/>
      </w:tblBorders>
    </w:tblPr>
    <w:tcPr>
      <w:tcBorders/>
    </w:tcPr>
    <w:tblStylePr w:type="band1Horz">
      <w:rPr>
        <w:color w:val="000000" w:themeColor="text1"/>
        <w:sz w:val="22"/>
      </w:rPr>
      <w:pPr>
        <w:pBdr/>
        <w:spacing/>
        <w:ind/>
      </w:pPr>
      <w:tblPr>
        <w:tblBorders/>
      </w:tblPr>
      <w:tcPr>
        <w:shd w:val="clear" w:color="bfbfbf" w:fill="bfbfbf" w:themeFill="text1" w:themeFillTint="40"/>
        <w:tcBorders/>
      </w:tcPr>
    </w:tblStylePr>
    <w:tblStylePr w:type="band1Vert">
      <w:pPr>
        <w:pBdr/>
        <w:spacing/>
        <w:ind/>
      </w:pPr>
      <w:tblPr>
        <w:tblBorders/>
      </w:tblPr>
      <w:tcPr>
        <w:shd w:val="clear" w:color="bfbfbf" w:fill="bfbfbf" w:themeFill="text1" w:themeFillTint="40"/>
        <w:tcBorders/>
      </w:tcPr>
    </w:tblStylePr>
    <w:tblStylePr w:type="band2Horz">
      <w:rPr>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5" w:customStyle="1">
    <w:name w:val="List Table 6 Colorful - Accent 1"/>
    <w:basedOn w:val="892"/>
    <w:uiPriority w:val="99"/>
    <w:pPr>
      <w:pBdr/>
      <w:spacing/>
      <w:ind/>
    </w:pPr>
    <w:tblPr>
      <w:tblBorders>
        <w:top w:val="single" w:color="4f81bd" w:themeColor="accent1" w:sz="4" w:space="0"/>
        <w:bottom w:val="single" w:color="4f81bd" w:themeColor="accent1" w:sz="4" w:space="0"/>
      </w:tblBorders>
    </w:tblPr>
    <w:tcPr>
      <w:tcBorders/>
    </w:tcPr>
    <w:tblStylePr w:type="band1Horz">
      <w:rPr>
        <w:color w:val="2a4a70" w:themeColor="accent1" w:themeShade="94"/>
        <w:sz w:val="22"/>
      </w:rPr>
      <w:pPr>
        <w:pBdr/>
        <w:spacing/>
        <w:ind/>
      </w:pPr>
      <w:tblPr>
        <w:tblBorders/>
      </w:tblPr>
      <w:tcPr>
        <w:shd w:val="clear" w:color="d2dfee" w:fill="d2dfee" w:themeFill="accent1" w:themeFillTint="40"/>
        <w:tcBorders/>
      </w:tcPr>
    </w:tblStylePr>
    <w:tblStylePr w:type="band1Vert">
      <w:pPr>
        <w:pBdr/>
        <w:spacing/>
        <w:ind/>
      </w:pPr>
      <w:tblPr>
        <w:tblBorders/>
      </w:tblPr>
      <w:tcPr>
        <w:shd w:val="clear" w:color="d2dfee" w:fill="d2dfee" w:themeFill="accent1" w:themeFillTint="40"/>
        <w:tcBorders/>
      </w:tcPr>
    </w:tblStylePr>
    <w:tblStylePr w:type="band2Horz">
      <w:rPr>
        <w:color w:val="2a4a70" w:themeColor="accent1" w:themeShade="94"/>
        <w:sz w:val="22"/>
      </w:rPr>
      <w:pPr>
        <w:pBdr/>
        <w:spacing/>
        <w:ind/>
      </w:pPr>
      <w:tblPr>
        <w:tblBorders/>
      </w:tblPr>
      <w:tcPr>
        <w:tcBorders/>
      </w:tcPr>
    </w:tblStylePr>
    <w:tblStylePr w:type="band2Vert">
      <w:pPr>
        <w:pBdr/>
        <w:spacing/>
        <w:ind/>
      </w:pPr>
      <w:tblPr>
        <w:tblBorders/>
      </w:tblPr>
      <w:tcPr>
        <w:tcBorders/>
      </w:tcPr>
    </w:tblStylePr>
    <w:tblStylePr w:type="firstCol">
      <w:rPr>
        <w:b/>
        <w:color w:val="2a4a70" w:themeColor="accent1" w:themeShade="94"/>
      </w:rPr>
      <w:pPr>
        <w:pBdr/>
        <w:spacing/>
        <w:ind/>
      </w:pPr>
      <w:tblPr>
        <w:tblBorders/>
      </w:tblPr>
      <w:tcPr>
        <w:tcBorders/>
      </w:tcPr>
    </w:tblStylePr>
    <w:tblStylePr w:type="firstRow">
      <w:rPr>
        <w:b/>
        <w:color w:val="2a4a70" w:themeColor="accent1" w:themeShade="94"/>
      </w:rPr>
      <w:pPr>
        <w:pBdr/>
        <w:spacing/>
        <w:ind/>
      </w:pPr>
      <w:tblPr>
        <w:tblBorders/>
      </w:tblPr>
      <w:tcPr>
        <w:tcBorders>
          <w:bottom w:val="single" w:color="4f81bd" w:themeColor="accent1" w:sz="4" w:space="0"/>
        </w:tcBorders>
      </w:tcPr>
    </w:tblStylePr>
    <w:tblStylePr w:type="lastCol">
      <w:rPr>
        <w:b/>
        <w:color w:val="2a4a70" w:themeColor="accent1" w:themeShade="94"/>
      </w:rPr>
      <w:pPr>
        <w:pBdr/>
        <w:spacing/>
        <w:ind/>
      </w:pPr>
      <w:tblPr>
        <w:tblBorders/>
      </w:tblPr>
      <w:tcPr>
        <w:tcBorders/>
      </w:tcPr>
    </w:tblStylePr>
    <w:tblStylePr w:type="lastRow">
      <w:rPr>
        <w:b/>
        <w:color w:val="2a4a70" w:themeColor="accent1" w:themeShade="94"/>
      </w:rPr>
      <w:pPr>
        <w:pBdr/>
        <w:spacing/>
        <w:ind/>
      </w:pPr>
      <w:tblPr>
        <w:tblBorders/>
      </w:tblPr>
      <w:tcPr>
        <w:tcBorders>
          <w:top w:val="single" w:color="4f81bd"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6" w:customStyle="1">
    <w:name w:val="List Table 6 Colorful - Accent 2"/>
    <w:basedOn w:val="892"/>
    <w:uiPriority w:val="99"/>
    <w:pPr>
      <w:pBdr/>
      <w:spacing/>
      <w:ind/>
    </w:pPr>
    <w:tblPr>
      <w:tblBorders>
        <w:top w:val="single" w:color="d99695" w:themeColor="accent2" w:themeTint="97" w:sz="4" w:space="0"/>
        <w:bottom w:val="single" w:color="d99695" w:themeColor="accent2" w:themeTint="97" w:sz="4" w:space="0"/>
      </w:tblBorders>
    </w:tblPr>
    <w:tcPr>
      <w:tcBorders/>
    </w:tcPr>
    <w:tblStylePr w:type="band1Horz">
      <w:rPr>
        <w:color w:val="da9796" w:themeColor="accent2" w:themeTint="96"/>
        <w:sz w:val="22"/>
      </w:rPr>
      <w:pPr>
        <w:pBdr/>
        <w:spacing/>
        <w:ind/>
      </w:pPr>
      <w:tblPr>
        <w:tblBorders/>
      </w:tblPr>
      <w:tcPr>
        <w:shd w:val="clear" w:color="efd2d2" w:fill="efd2d2" w:themeFill="accent2" w:themeFillTint="40"/>
        <w:tcBorders/>
      </w:tcPr>
    </w:tblStylePr>
    <w:tblStylePr w:type="band1Vert">
      <w:pPr>
        <w:pBdr/>
        <w:spacing/>
        <w:ind/>
      </w:pPr>
      <w:tblPr>
        <w:tblBorders/>
      </w:tblPr>
      <w:tcPr>
        <w:shd w:val="clear" w:color="efd2d2" w:fill="efd2d2" w:themeFill="accent2" w:themeFillTint="40"/>
        <w:tcBorders/>
      </w:tcPr>
    </w:tblStylePr>
    <w:tblStylePr w:type="band2Horz">
      <w:rPr>
        <w:color w:val="da9796" w:themeColor="accent2" w:themeTint="96"/>
        <w:sz w:val="22"/>
      </w:rPr>
      <w:pPr>
        <w:pBdr/>
        <w:spacing/>
        <w:ind/>
      </w:pPr>
      <w:tblPr>
        <w:tblBorders/>
      </w:tblPr>
      <w:tcPr>
        <w:tcBorders/>
      </w:tcPr>
    </w:tblStylePr>
    <w:tblStylePr w:type="band2Vert">
      <w:pPr>
        <w:pBdr/>
        <w:spacing/>
        <w:ind/>
      </w:pPr>
      <w:tblPr>
        <w:tblBorders/>
      </w:tblPr>
      <w:tcPr>
        <w:tcBorders/>
      </w:tcPr>
    </w:tblStylePr>
    <w:tblStylePr w:type="firstCol">
      <w:rPr>
        <w:b/>
        <w:color w:val="da9796" w:themeColor="accent2" w:themeTint="96"/>
      </w:rPr>
      <w:pPr>
        <w:pBdr/>
        <w:spacing/>
        <w:ind/>
      </w:pPr>
      <w:tblPr>
        <w:tblBorders/>
      </w:tblPr>
      <w:tcPr>
        <w:tcBorders/>
      </w:tcPr>
    </w:tblStylePr>
    <w:tblStylePr w:type="firstRow">
      <w:rPr>
        <w:b/>
        <w:color w:val="da9796" w:themeColor="accent2" w:themeTint="96"/>
      </w:rPr>
      <w:pPr>
        <w:pBdr/>
        <w:spacing/>
        <w:ind/>
      </w:pPr>
      <w:tblPr>
        <w:tblBorders/>
      </w:tblPr>
      <w:tcPr>
        <w:tcBorders>
          <w:bottom w:val="single" w:color="c0504d" w:themeColor="accent2" w:sz="4" w:space="0"/>
        </w:tcBorders>
      </w:tcPr>
    </w:tblStylePr>
    <w:tblStylePr w:type="lastCol">
      <w:rPr>
        <w:b/>
        <w:color w:val="da9796" w:themeColor="accent2" w:themeTint="96"/>
      </w:rPr>
      <w:pPr>
        <w:pBdr/>
        <w:spacing/>
        <w:ind/>
      </w:pPr>
      <w:tblPr>
        <w:tblBorders/>
      </w:tblPr>
      <w:tcPr>
        <w:tcBorders/>
      </w:tcPr>
    </w:tblStylePr>
    <w:tblStylePr w:type="lastRow">
      <w:rPr>
        <w:b/>
        <w:color w:val="da9796" w:themeColor="accent2" w:themeTint="96"/>
      </w:rPr>
      <w:pPr>
        <w:pBdr/>
        <w:spacing/>
        <w:ind/>
      </w:pPr>
      <w:tblPr>
        <w:tblBorders/>
      </w:tblPr>
      <w:tcPr>
        <w:tcBorders>
          <w:top w:val="single" w:color="c0504d"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7" w:customStyle="1">
    <w:name w:val="List Table 6 Colorful - Accent 3"/>
    <w:basedOn w:val="892"/>
    <w:uiPriority w:val="99"/>
    <w:pPr>
      <w:pBdr/>
      <w:spacing/>
      <w:ind/>
    </w:pPr>
    <w:tblPr>
      <w:tblBorders>
        <w:top w:val="single" w:color="c3d69b" w:themeColor="accent3" w:themeTint="98" w:sz="4" w:space="0"/>
        <w:bottom w:val="single" w:color="c3d69b" w:themeColor="accent3" w:themeTint="98" w:sz="4" w:space="0"/>
      </w:tblBorders>
    </w:tblPr>
    <w:tcPr>
      <w:tcBorders/>
    </w:tcPr>
    <w:tblStylePr w:type="band1Horz">
      <w:rPr>
        <w:color w:val="c2d69b" w:themeColor="accent3" w:themeTint="99"/>
        <w:sz w:val="22"/>
      </w:rPr>
      <w:pPr>
        <w:pBdr/>
        <w:spacing/>
        <w:ind/>
      </w:pPr>
      <w:tblPr>
        <w:tblBorders/>
      </w:tblPr>
      <w:tcPr>
        <w:shd w:val="clear" w:color="e5eed5" w:fill="e5eed5" w:themeFill="accent3" w:themeFillTint="40"/>
        <w:tcBorders/>
      </w:tcPr>
    </w:tblStylePr>
    <w:tblStylePr w:type="band1Vert">
      <w:pPr>
        <w:pBdr/>
        <w:spacing/>
        <w:ind/>
      </w:pPr>
      <w:tblPr>
        <w:tblBorders/>
      </w:tblPr>
      <w:tcPr>
        <w:shd w:val="clear" w:color="e5eed5" w:fill="e5eed5" w:themeFill="accent3" w:themeFillTint="40"/>
        <w:tcBorders/>
      </w:tcPr>
    </w:tblStylePr>
    <w:tblStylePr w:type="band2Horz">
      <w:rPr>
        <w:color w:val="c2d69b" w:themeColor="accent3" w:themeTint="99"/>
        <w:sz w:val="22"/>
      </w:rPr>
      <w:pPr>
        <w:pBdr/>
        <w:spacing/>
        <w:ind/>
      </w:pPr>
      <w:tblPr>
        <w:tblBorders/>
      </w:tblPr>
      <w:tcPr>
        <w:tcBorders/>
      </w:tcPr>
    </w:tblStylePr>
    <w:tblStylePr w:type="band2Vert">
      <w:pPr>
        <w:pBdr/>
        <w:spacing/>
        <w:ind/>
      </w:pPr>
      <w:tblPr>
        <w:tblBorders/>
      </w:tblPr>
      <w:tcPr>
        <w:tcBorders/>
      </w:tcPr>
    </w:tblStylePr>
    <w:tblStylePr w:type="firstCol">
      <w:rPr>
        <w:b/>
        <w:color w:val="c2d69b" w:themeColor="accent3" w:themeTint="99"/>
      </w:rPr>
      <w:pPr>
        <w:pBdr/>
        <w:spacing/>
        <w:ind/>
      </w:pPr>
      <w:tblPr>
        <w:tblBorders/>
      </w:tblPr>
      <w:tcPr>
        <w:tcBorders/>
      </w:tcPr>
    </w:tblStylePr>
    <w:tblStylePr w:type="firstRow">
      <w:rPr>
        <w:b/>
        <w:color w:val="c2d69b" w:themeColor="accent3" w:themeTint="99"/>
      </w:rPr>
      <w:pPr>
        <w:pBdr/>
        <w:spacing/>
        <w:ind/>
      </w:pPr>
      <w:tblPr>
        <w:tblBorders/>
      </w:tblPr>
      <w:tcPr>
        <w:tcBorders>
          <w:bottom w:val="single" w:color="9bbb59" w:themeColor="accent3" w:sz="4" w:space="0"/>
        </w:tcBorders>
      </w:tcPr>
    </w:tblStylePr>
    <w:tblStylePr w:type="lastCol">
      <w:rPr>
        <w:b/>
        <w:color w:val="c2d69b" w:themeColor="accent3" w:themeTint="99"/>
      </w:rPr>
      <w:pPr>
        <w:pBdr/>
        <w:spacing/>
        <w:ind/>
      </w:pPr>
      <w:tblPr>
        <w:tblBorders/>
      </w:tblPr>
      <w:tcPr>
        <w:tcBorders/>
      </w:tcPr>
    </w:tblStylePr>
    <w:tblStylePr w:type="lastRow">
      <w:rPr>
        <w:b/>
        <w:color w:val="c2d69b" w:themeColor="accent3" w:themeTint="99"/>
      </w:rPr>
      <w:pPr>
        <w:pBdr/>
        <w:spacing/>
        <w:ind/>
      </w:pPr>
      <w:tblPr>
        <w:tblBorders/>
      </w:tblPr>
      <w:tcPr>
        <w:tcBorders>
          <w:top w:val="single" w:color="9bbb59"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8" w:customStyle="1">
    <w:name w:val="List Table 6 Colorful - Accent 4"/>
    <w:basedOn w:val="892"/>
    <w:uiPriority w:val="99"/>
    <w:pPr>
      <w:pBdr/>
      <w:spacing/>
      <w:ind/>
    </w:pPr>
    <w:tblPr>
      <w:tblBorders>
        <w:top w:val="single" w:color="b2a1c6" w:themeColor="accent4" w:themeTint="9A" w:sz="4" w:space="0"/>
        <w:bottom w:val="single" w:color="b2a1c6" w:themeColor="accent4" w:themeTint="9A" w:sz="4" w:space="0"/>
      </w:tblBorders>
    </w:tblPr>
    <w:tcPr>
      <w:tcBorders/>
    </w:tcPr>
    <w:tblStylePr w:type="band1Horz">
      <w:rPr>
        <w:color w:val="b2a1c7" w:themeColor="accent4" w:themeTint="99"/>
        <w:sz w:val="22"/>
      </w:rPr>
      <w:pPr>
        <w:pBdr/>
        <w:spacing/>
        <w:ind/>
      </w:pPr>
      <w:tblPr>
        <w:tblBorders/>
      </w:tblPr>
      <w:tcPr>
        <w:shd w:val="clear" w:color="dfd8e7" w:fill="dfd8e7" w:themeFill="accent4" w:themeFillTint="40"/>
        <w:tcBorders/>
      </w:tcPr>
    </w:tblStylePr>
    <w:tblStylePr w:type="band1Vert">
      <w:pPr>
        <w:pBdr/>
        <w:spacing/>
        <w:ind/>
      </w:pPr>
      <w:tblPr>
        <w:tblBorders/>
      </w:tblPr>
      <w:tcPr>
        <w:shd w:val="clear" w:color="dfd8e7" w:fill="dfd8e7" w:themeFill="accent4" w:themeFillTint="40"/>
        <w:tcBorders/>
      </w:tcPr>
    </w:tblStylePr>
    <w:tblStylePr w:type="band2Horz">
      <w:rPr>
        <w:color w:val="b2a1c7" w:themeColor="accent4" w:themeTint="99"/>
        <w:sz w:val="22"/>
      </w:rPr>
      <w:pPr>
        <w:pBdr/>
        <w:spacing/>
        <w:ind/>
      </w:pPr>
      <w:tblPr>
        <w:tblBorders/>
      </w:tblPr>
      <w:tcPr>
        <w:tcBorders/>
      </w:tcPr>
    </w:tblStylePr>
    <w:tblStylePr w:type="band2Vert">
      <w:pPr>
        <w:pBdr/>
        <w:spacing/>
        <w:ind/>
      </w:pPr>
      <w:tblPr>
        <w:tblBorders/>
      </w:tblPr>
      <w:tcPr>
        <w:tcBorders/>
      </w:tcPr>
    </w:tblStylePr>
    <w:tblStylePr w:type="firstCol">
      <w:rPr>
        <w:b/>
        <w:color w:val="b2a1c7" w:themeColor="accent4" w:themeTint="99"/>
      </w:rPr>
      <w:pPr>
        <w:pBdr/>
        <w:spacing/>
        <w:ind/>
      </w:pPr>
      <w:tblPr>
        <w:tblBorders/>
      </w:tblPr>
      <w:tcPr>
        <w:tcBorders/>
      </w:tcPr>
    </w:tblStylePr>
    <w:tblStylePr w:type="firstRow">
      <w:rPr>
        <w:b/>
        <w:color w:val="b2a1c7" w:themeColor="accent4" w:themeTint="99"/>
      </w:rPr>
      <w:pPr>
        <w:pBdr/>
        <w:spacing/>
        <w:ind/>
      </w:pPr>
      <w:tblPr>
        <w:tblBorders/>
      </w:tblPr>
      <w:tcPr>
        <w:tcBorders>
          <w:bottom w:val="single" w:color="8064a2" w:themeColor="accent4" w:sz="4" w:space="0"/>
        </w:tcBorders>
      </w:tcPr>
    </w:tblStylePr>
    <w:tblStylePr w:type="lastCol">
      <w:rPr>
        <w:b/>
        <w:color w:val="b2a1c7" w:themeColor="accent4" w:themeTint="99"/>
      </w:rPr>
      <w:pPr>
        <w:pBdr/>
        <w:spacing/>
        <w:ind/>
      </w:pPr>
      <w:tblPr>
        <w:tblBorders/>
      </w:tblPr>
      <w:tcPr>
        <w:tcBorders/>
      </w:tcPr>
    </w:tblStylePr>
    <w:tblStylePr w:type="lastRow">
      <w:rPr>
        <w:b/>
        <w:color w:val="b2a1c7" w:themeColor="accent4" w:themeTint="99"/>
      </w:rPr>
      <w:pPr>
        <w:pBdr/>
        <w:spacing/>
        <w:ind/>
      </w:pPr>
      <w:tblPr>
        <w:tblBorders/>
      </w:tblPr>
      <w:tcPr>
        <w:tcBorders>
          <w:top w:val="single" w:color="8064a2"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9" w:customStyle="1">
    <w:name w:val="List Table 6 Colorful - Accent 5"/>
    <w:basedOn w:val="892"/>
    <w:uiPriority w:val="99"/>
    <w:pPr>
      <w:pBdr/>
      <w:spacing/>
      <w:ind/>
    </w:pPr>
    <w:tblPr>
      <w:tblBorders>
        <w:top w:val="single" w:color="92ccdc" w:themeColor="accent5" w:themeTint="9A" w:sz="4" w:space="0"/>
        <w:bottom w:val="single" w:color="92ccdc" w:themeColor="accent5" w:themeTint="9A" w:sz="4" w:space="0"/>
      </w:tblBorders>
    </w:tblPr>
    <w:tcPr>
      <w:tcBorders/>
    </w:tcPr>
    <w:tblStylePr w:type="band1Horz">
      <w:rPr>
        <w:color w:val="92cddc" w:themeColor="accent5" w:themeTint="99"/>
        <w:sz w:val="22"/>
      </w:rPr>
      <w:pPr>
        <w:pBdr/>
        <w:spacing/>
        <w:ind/>
      </w:pPr>
      <w:tblPr>
        <w:tblBorders/>
      </w:tblPr>
      <w:tcPr>
        <w:shd w:val="clear" w:color="d1eaf0" w:fill="d1eaf0" w:themeFill="accent5" w:themeFillTint="40"/>
        <w:tcBorders/>
      </w:tcPr>
    </w:tblStylePr>
    <w:tblStylePr w:type="band1Vert">
      <w:pPr>
        <w:pBdr/>
        <w:spacing/>
        <w:ind/>
      </w:pPr>
      <w:tblPr>
        <w:tblBorders/>
      </w:tblPr>
      <w:tcPr>
        <w:shd w:val="clear" w:color="d1eaf0" w:fill="d1eaf0" w:themeFill="accent5" w:themeFillTint="40"/>
        <w:tcBorders/>
      </w:tcPr>
    </w:tblStylePr>
    <w:tblStylePr w:type="band2Horz">
      <w:rPr>
        <w:color w:val="92cddc" w:themeColor="accent5" w:themeTint="99"/>
        <w:sz w:val="22"/>
      </w:rPr>
      <w:pPr>
        <w:pBdr/>
        <w:spacing/>
        <w:ind/>
      </w:pPr>
      <w:tblPr>
        <w:tblBorders/>
      </w:tblPr>
      <w:tcPr>
        <w:tcBorders/>
      </w:tcPr>
    </w:tblStylePr>
    <w:tblStylePr w:type="band2Vert">
      <w:pPr>
        <w:pBdr/>
        <w:spacing/>
        <w:ind/>
      </w:pPr>
      <w:tblPr>
        <w:tblBorders/>
      </w:tblPr>
      <w:tcPr>
        <w:tcBorders/>
      </w:tcPr>
    </w:tblStylePr>
    <w:tblStylePr w:type="firstCol">
      <w:rPr>
        <w:b/>
        <w:color w:val="92cddc" w:themeColor="accent5" w:themeTint="99"/>
      </w:rPr>
      <w:pPr>
        <w:pBdr/>
        <w:spacing/>
        <w:ind/>
      </w:pPr>
      <w:tblPr>
        <w:tblBorders/>
      </w:tblPr>
      <w:tcPr>
        <w:tcBorders/>
      </w:tcPr>
    </w:tblStylePr>
    <w:tblStylePr w:type="firstRow">
      <w:rPr>
        <w:b/>
        <w:color w:val="92cddc" w:themeColor="accent5" w:themeTint="99"/>
      </w:rPr>
      <w:pPr>
        <w:pBdr/>
        <w:spacing/>
        <w:ind/>
      </w:pPr>
      <w:tblPr>
        <w:tblBorders/>
      </w:tblPr>
      <w:tcPr>
        <w:tcBorders>
          <w:bottom w:val="single" w:color="4bacc6" w:themeColor="accent5" w:sz="4" w:space="0"/>
        </w:tcBorders>
      </w:tcPr>
    </w:tblStylePr>
    <w:tblStylePr w:type="lastCol">
      <w:rPr>
        <w:b/>
        <w:color w:val="92cddc" w:themeColor="accent5" w:themeTint="99"/>
      </w:rPr>
      <w:pPr>
        <w:pBdr/>
        <w:spacing/>
        <w:ind/>
      </w:pPr>
      <w:tblPr>
        <w:tblBorders/>
      </w:tblPr>
      <w:tcPr>
        <w:tcBorders/>
      </w:tcPr>
    </w:tblStylePr>
    <w:tblStylePr w:type="lastRow">
      <w:rPr>
        <w:b/>
        <w:color w:val="92cddc" w:themeColor="accent5" w:themeTint="99"/>
      </w:rPr>
      <w:pPr>
        <w:pBdr/>
        <w:spacing/>
        <w:ind/>
      </w:pPr>
      <w:tblPr>
        <w:tblBorders/>
      </w:tblPr>
      <w:tcPr>
        <w:tcBorders>
          <w:top w:val="single" w:color="4bacc6"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0" w:customStyle="1">
    <w:name w:val="List Table 6 Colorful - Accent 6"/>
    <w:basedOn w:val="892"/>
    <w:uiPriority w:val="99"/>
    <w:pPr>
      <w:pBdr/>
      <w:spacing/>
      <w:ind/>
    </w:pPr>
    <w:tblPr>
      <w:tblBorders>
        <w:top w:val="single" w:color="fac090" w:themeColor="accent6" w:themeTint="98" w:sz="4" w:space="0"/>
        <w:bottom w:val="single" w:color="fac090" w:themeColor="accent6" w:themeTint="98" w:sz="4" w:space="0"/>
      </w:tblBorders>
    </w:tblPr>
    <w:tcPr>
      <w:tcBorders/>
    </w:tcPr>
    <w:tblStylePr w:type="band1Horz">
      <w:rPr>
        <w:color w:val="fabf8f" w:themeColor="accent6" w:themeTint="99"/>
        <w:sz w:val="22"/>
      </w:rPr>
      <w:pPr>
        <w:pBdr/>
        <w:spacing/>
        <w:ind/>
      </w:pPr>
      <w:tblPr>
        <w:tblBorders/>
      </w:tblPr>
      <w:tcPr>
        <w:shd w:val="clear" w:color="fde4d0" w:fill="fde4d0" w:themeFill="accent6" w:themeFillTint="40"/>
        <w:tcBorders/>
      </w:tcPr>
    </w:tblStylePr>
    <w:tblStylePr w:type="band1Vert">
      <w:pPr>
        <w:pBdr/>
        <w:spacing/>
        <w:ind/>
      </w:pPr>
      <w:tblPr>
        <w:tblBorders/>
      </w:tblPr>
      <w:tcPr>
        <w:shd w:val="clear" w:color="fde4d0" w:fill="fde4d0" w:themeFill="accent6" w:themeFillTint="40"/>
        <w:tcBorders/>
      </w:tcPr>
    </w:tblStylePr>
    <w:tblStylePr w:type="band2Horz">
      <w:rPr>
        <w:color w:val="fabf8f" w:themeColor="accent6" w:themeTint="99"/>
        <w:sz w:val="22"/>
      </w:rPr>
      <w:pPr>
        <w:pBdr/>
        <w:spacing/>
        <w:ind/>
      </w:pPr>
      <w:tblPr>
        <w:tblBorders/>
      </w:tblPr>
      <w:tcPr>
        <w:tcBorders/>
      </w:tcPr>
    </w:tblStylePr>
    <w:tblStylePr w:type="band2Vert">
      <w:pPr>
        <w:pBdr/>
        <w:spacing/>
        <w:ind/>
      </w:pPr>
      <w:tblPr>
        <w:tblBorders/>
      </w:tblPr>
      <w:tcPr>
        <w:tcBorders/>
      </w:tcPr>
    </w:tblStylePr>
    <w:tblStylePr w:type="firstCol">
      <w:rPr>
        <w:b/>
        <w:color w:val="fabf8f" w:themeColor="accent6" w:themeTint="99"/>
      </w:rPr>
      <w:pPr>
        <w:pBdr/>
        <w:spacing/>
        <w:ind/>
      </w:pPr>
      <w:tblPr>
        <w:tblBorders/>
      </w:tblPr>
      <w:tcPr>
        <w:tcBorders/>
      </w:tcPr>
    </w:tblStylePr>
    <w:tblStylePr w:type="firstRow">
      <w:rPr>
        <w:b/>
        <w:color w:val="fabf8f" w:themeColor="accent6" w:themeTint="99"/>
      </w:rPr>
      <w:pPr>
        <w:pBdr/>
        <w:spacing/>
        <w:ind/>
      </w:pPr>
      <w:tblPr>
        <w:tblBorders/>
      </w:tblPr>
      <w:tcPr>
        <w:tcBorders>
          <w:bottom w:val="single" w:color="f79646" w:themeColor="accent6" w:sz="4" w:space="0"/>
        </w:tcBorders>
      </w:tcPr>
    </w:tblStylePr>
    <w:tblStylePr w:type="lastCol">
      <w:rPr>
        <w:b/>
        <w:color w:val="fabf8f" w:themeColor="accent6" w:themeTint="99"/>
      </w:rPr>
      <w:pPr>
        <w:pBdr/>
        <w:spacing/>
        <w:ind/>
      </w:pPr>
      <w:tblPr>
        <w:tblBorders/>
      </w:tblPr>
      <w:tcPr>
        <w:tcBorders/>
      </w:tcPr>
    </w:tblStylePr>
    <w:tblStylePr w:type="lastRow">
      <w:rPr>
        <w:b/>
        <w:color w:val="fabf8f" w:themeColor="accent6" w:themeTint="99"/>
      </w:rPr>
      <w:pPr>
        <w:pBdr/>
        <w:spacing/>
        <w:ind/>
      </w:pPr>
      <w:tblPr>
        <w:tblBorders/>
      </w:tblPr>
      <w:tcPr>
        <w:tcBorders>
          <w:top w:val="single" w:color="f79646"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1" w:customStyle="1">
    <w:name w:val="Tabela de Lista 7 Colorida1"/>
    <w:basedOn w:val="892"/>
    <w:uiPriority w:val="99"/>
    <w:pPr>
      <w:pBdr/>
      <w:spacing/>
      <w:ind/>
    </w:pPr>
    <w:tblPr>
      <w:tblBorders>
        <w:right w:val="single" w:color="7f7f7f" w:themeColor="text1" w:themeTint="80" w:sz="4" w:space="0"/>
      </w:tblBorders>
    </w:tblPr>
    <w:tcPr>
      <w:tcBorders/>
    </w:tcPr>
    <w:tblStylePr w:type="band1Horz">
      <w:rPr>
        <w:color w:val="7f7f7f" w:themeColor="text1" w:themeTint="80"/>
        <w:sz w:val="22"/>
      </w:rPr>
      <w:pPr>
        <w:pBdr/>
        <w:spacing/>
        <w:ind/>
      </w:pPr>
      <w:tblPr>
        <w:tblBorders/>
      </w:tblPr>
      <w:tcPr>
        <w:shd w:val="clear" w:color="bfbfbf" w:fill="bfbfbf" w:themeFill="text1" w:themeFillTint="40"/>
        <w:tcBorders/>
      </w:tcPr>
    </w:tblStylePr>
    <w:tblStylePr w:type="band1Vert">
      <w:pPr>
        <w:pBdr/>
        <w:spacing/>
        <w:ind/>
      </w:pPr>
      <w:tblPr>
        <w:tblBorders/>
      </w:tblPr>
      <w:tcPr>
        <w:shd w:val="clear" w:color="bfbfbf" w:fill="bfbfbf" w:themeFill="text1" w:themeFillTint="40"/>
        <w:tcBorders/>
      </w:tcPr>
    </w:tblStylePr>
    <w:tblStylePr w:type="band2Horz">
      <w:rPr>
        <w:color w:val="7f7f7f" w:themeColor="text1" w:themeTint="80"/>
        <w:sz w:val="22"/>
      </w:rPr>
      <w:pPr>
        <w:pBdr/>
        <w:spacing/>
        <w:ind/>
      </w:pPr>
      <w:tblPr>
        <w:tblBorders/>
      </w:tblPr>
      <w:tcPr>
        <w:tcBorders/>
      </w:tcPr>
    </w:tblStylePr>
    <w:tblStylePr w:type="band2Vert">
      <w:pPr>
        <w:pBdr/>
        <w:spacing/>
        <w:ind/>
      </w:pPr>
      <w:tblPr>
        <w:tblBorders/>
      </w:tblPr>
      <w:tcPr>
        <w:tcBorders/>
      </w:tcPr>
    </w:tblStylePr>
    <w:tblStylePr w:type="firstCol">
      <w:rPr>
        <w:i/>
        <w:color w:val="7f7f7f" w:themeColor="text1" w:themeTint="80"/>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000000" w:themeColor="text1" w:sz="4" w:space="0"/>
        </w:tcBorders>
      </w:tcPr>
    </w:tblStylePr>
    <w:tblStylePr w:type="firstRow">
      <w:rPr>
        <w:i/>
        <w:color w:val="7f7f7f" w:themeColor="text1" w:themeTint="80"/>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7f7f7f" w:themeColor="text1" w:themeTint="80"/>
        <w:sz w:val="22"/>
      </w:rPr>
      <w:pPr>
        <w:pBdr/>
        <w:spacing/>
        <w:ind/>
      </w:pPr>
      <w:tblPr>
        <w:tblBorders/>
      </w:tblPr>
      <w:tcPr>
        <w:shd w:val="clear" w:color="ffffff" w:fill="auto"/>
        <w:tcBorders>
          <w:top w:val="none" w:color="000000" w:sz="4" w:space="0"/>
          <w:left w:val="single" w:color="000000" w:themeColor="text1" w:sz="4" w:space="0"/>
          <w:bottom w:val="none" w:color="000000" w:sz="4" w:space="0"/>
          <w:right w:val="none" w:color="000000" w:sz="4" w:space="0"/>
        </w:tcBorders>
      </w:tcPr>
    </w:tblStylePr>
    <w:tblStylePr w:type="lastRow">
      <w:rPr>
        <w:i/>
        <w:color w:val="7f7f7f" w:themeColor="text1" w:themeTint="80"/>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2" w:customStyle="1">
    <w:name w:val="List Table 7 Colorful - Accent 1"/>
    <w:basedOn w:val="892"/>
    <w:uiPriority w:val="99"/>
    <w:pPr>
      <w:pBdr/>
      <w:spacing/>
      <w:ind/>
    </w:pPr>
    <w:tblPr>
      <w:tblBorders>
        <w:right w:val="single" w:color="4f81bd" w:themeColor="accent1" w:sz="4" w:space="0"/>
      </w:tblBorders>
    </w:tblPr>
    <w:tcPr>
      <w:tcBorders/>
    </w:tcPr>
    <w:tblStylePr w:type="band1Horz">
      <w:rPr>
        <w:color w:val="2a4a70" w:themeColor="accent1" w:themeShade="94"/>
        <w:sz w:val="22"/>
      </w:rPr>
      <w:pPr>
        <w:pBdr/>
        <w:spacing/>
        <w:ind/>
      </w:pPr>
      <w:tblPr>
        <w:tblBorders/>
      </w:tblPr>
      <w:tcPr>
        <w:shd w:val="clear" w:color="d2dfee" w:fill="d2dfee" w:themeFill="accent1" w:themeFillTint="40"/>
        <w:tcBorders/>
      </w:tcPr>
    </w:tblStylePr>
    <w:tblStylePr w:type="band1Vert">
      <w:pPr>
        <w:pBdr/>
        <w:spacing/>
        <w:ind/>
      </w:pPr>
      <w:tblPr>
        <w:tblBorders/>
      </w:tblPr>
      <w:tcPr>
        <w:shd w:val="clear" w:color="d2dfee" w:fill="d2dfee" w:themeFill="accent1" w:themeFillTint="40"/>
        <w:tcBorders/>
      </w:tcPr>
    </w:tblStylePr>
    <w:tblStylePr w:type="band2Horz">
      <w:rPr>
        <w:color w:val="2a4a70" w:themeColor="accent1" w:themeShade="94"/>
        <w:sz w:val="22"/>
      </w:rPr>
      <w:pPr>
        <w:pBdr/>
        <w:spacing/>
        <w:ind/>
      </w:pPr>
      <w:tblPr>
        <w:tblBorders/>
      </w:tblPr>
      <w:tcPr>
        <w:tcBorders/>
      </w:tcPr>
    </w:tblStylePr>
    <w:tblStylePr w:type="band2Vert">
      <w:pPr>
        <w:pBdr/>
        <w:spacing/>
        <w:ind/>
      </w:pPr>
      <w:tblPr>
        <w:tblBorders/>
      </w:tblPr>
      <w:tcPr>
        <w:tcBorders/>
      </w:tcPr>
    </w:tblStylePr>
    <w:tblStylePr w:type="firstCol">
      <w:rPr>
        <w:i/>
        <w:color w:val="2a4a70" w:themeColor="accent1" w:themeShade="94"/>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4f81bd" w:themeColor="accent1" w:sz="4" w:space="0"/>
        </w:tcBorders>
      </w:tcPr>
    </w:tblStylePr>
    <w:tblStylePr w:type="firstRow">
      <w:rPr>
        <w:i/>
        <w:color w:val="2a4a70" w:themeColor="accent1" w:themeShade="94"/>
        <w:sz w:val="22"/>
      </w:rPr>
      <w:pPr>
        <w:pBdr/>
        <w:spacing/>
        <w:ind/>
      </w:pPr>
      <w:tblPr>
        <w:tblBorders/>
      </w:tblPr>
      <w:tcPr>
        <w:shd w:val="clear" w:color="ffffff" w:fill="ffffff" w:themeFill="light1"/>
        <w:tcBorders>
          <w:top w:val="none" w:color="000000" w:sz="4" w:space="0"/>
          <w:left w:val="none" w:color="000000" w:sz="4" w:space="0"/>
          <w:bottom w:val="single" w:color="4f81bd" w:themeColor="accent1" w:sz="4" w:space="0"/>
          <w:right w:val="none" w:color="000000" w:sz="4" w:space="0"/>
        </w:tcBorders>
      </w:tcPr>
    </w:tblStylePr>
    <w:tblStylePr w:type="lastCol">
      <w:rPr>
        <w:i/>
        <w:color w:val="2a4a70" w:themeColor="accent1" w:themeShade="94"/>
        <w:sz w:val="22"/>
      </w:rPr>
      <w:pPr>
        <w:pBdr/>
        <w:spacing/>
        <w:ind/>
      </w:pPr>
      <w:tblPr>
        <w:tblBorders/>
      </w:tblPr>
      <w:tcPr>
        <w:shd w:val="clear" w:color="ffffff" w:fill="auto"/>
        <w:tcBorders>
          <w:top w:val="none" w:color="000000" w:sz="4" w:space="0"/>
          <w:left w:val="single" w:color="4f81bd" w:themeColor="accent1" w:sz="4" w:space="0"/>
          <w:bottom w:val="none" w:color="000000" w:sz="4" w:space="0"/>
          <w:right w:val="none" w:color="000000" w:sz="4" w:space="0"/>
        </w:tcBorders>
      </w:tcPr>
    </w:tblStylePr>
    <w:tblStylePr w:type="lastRow">
      <w:rPr>
        <w:i/>
        <w:color w:val="2a4a70" w:themeColor="accent1" w:themeShade="94"/>
        <w:sz w:val="22"/>
      </w:rPr>
      <w:pPr>
        <w:pBdr/>
        <w:spacing/>
        <w:ind/>
      </w:pPr>
      <w:tblPr>
        <w:tblBorders/>
      </w:tblPr>
      <w:tcPr>
        <w:shd w:val="clear" w:color="ffffff" w:fill="ffffff" w:themeFill="light1"/>
        <w:tcBorders>
          <w:top w:val="single" w:color="4f81bd"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3" w:customStyle="1">
    <w:name w:val="List Table 7 Colorful - Accent 2"/>
    <w:basedOn w:val="892"/>
    <w:uiPriority w:val="99"/>
    <w:pPr>
      <w:pBdr/>
      <w:spacing/>
      <w:ind/>
    </w:pPr>
    <w:tblPr>
      <w:tblBorders>
        <w:right w:val="single" w:color="d99695" w:themeColor="accent2" w:themeTint="97" w:sz="4" w:space="0"/>
      </w:tblBorders>
    </w:tblPr>
    <w:tcPr>
      <w:tcBorders/>
    </w:tcPr>
    <w:tblStylePr w:type="band1Horz">
      <w:rPr>
        <w:color w:val="da9796" w:themeColor="accent2" w:themeTint="96"/>
        <w:sz w:val="22"/>
      </w:rPr>
      <w:pPr>
        <w:pBdr/>
        <w:spacing/>
        <w:ind/>
      </w:pPr>
      <w:tblPr>
        <w:tblBorders/>
      </w:tblPr>
      <w:tcPr>
        <w:shd w:val="clear" w:color="efd2d2" w:fill="efd2d2" w:themeFill="accent2" w:themeFillTint="40"/>
        <w:tcBorders/>
      </w:tcPr>
    </w:tblStylePr>
    <w:tblStylePr w:type="band1Vert">
      <w:pPr>
        <w:pBdr/>
        <w:spacing/>
        <w:ind/>
      </w:pPr>
      <w:tblPr>
        <w:tblBorders/>
      </w:tblPr>
      <w:tcPr>
        <w:shd w:val="clear" w:color="efd2d2" w:fill="efd2d2" w:themeFill="accent2" w:themeFillTint="40"/>
        <w:tcBorders/>
      </w:tcPr>
    </w:tblStylePr>
    <w:tblStylePr w:type="band2Horz">
      <w:rPr>
        <w:color w:val="da9796" w:themeColor="accent2" w:themeTint="96"/>
        <w:sz w:val="22"/>
      </w:rPr>
      <w:pPr>
        <w:pBdr/>
        <w:spacing/>
        <w:ind/>
      </w:pPr>
      <w:tblPr>
        <w:tblBorders/>
      </w:tblPr>
      <w:tcPr>
        <w:tcBorders/>
      </w:tcPr>
    </w:tblStylePr>
    <w:tblStylePr w:type="band2Vert">
      <w:pPr>
        <w:pBdr/>
        <w:spacing/>
        <w:ind/>
      </w:pPr>
      <w:tblPr>
        <w:tblBorders/>
      </w:tblPr>
      <w:tcPr>
        <w:tcBorders/>
      </w:tcPr>
    </w:tblStylePr>
    <w:tblStylePr w:type="firstCol">
      <w:rPr>
        <w:i/>
        <w:color w:val="da9796" w:themeColor="accent2" w:themeTint="96"/>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0504d" w:themeColor="accent2" w:sz="4" w:space="0"/>
        </w:tcBorders>
      </w:tcPr>
    </w:tblStylePr>
    <w:tblStylePr w:type="firstRow">
      <w:rPr>
        <w:i/>
        <w:color w:val="da9796" w:themeColor="accent2" w:themeTint="96"/>
        <w:sz w:val="22"/>
      </w:rPr>
      <w:pPr>
        <w:pBdr/>
        <w:spacing/>
        <w:ind/>
      </w:pPr>
      <w:tblPr>
        <w:tblBorders/>
      </w:tblPr>
      <w:tcPr>
        <w:shd w:val="clear" w:color="ffffff" w:fill="ffffff" w:themeFill="light1"/>
        <w:tcBorders>
          <w:top w:val="none" w:color="000000" w:sz="4" w:space="0"/>
          <w:left w:val="none" w:color="000000" w:sz="4" w:space="0"/>
          <w:bottom w:val="single" w:color="c0504d" w:themeColor="accent2" w:sz="4" w:space="0"/>
          <w:right w:val="none" w:color="000000" w:sz="4" w:space="0"/>
        </w:tcBorders>
      </w:tcPr>
    </w:tblStylePr>
    <w:tblStylePr w:type="lastCol">
      <w:rPr>
        <w:i/>
        <w:color w:val="da9796" w:themeColor="accent2" w:themeTint="96"/>
        <w:sz w:val="22"/>
      </w:rPr>
      <w:pPr>
        <w:pBdr/>
        <w:spacing/>
        <w:ind/>
      </w:pPr>
      <w:tblPr>
        <w:tblBorders/>
      </w:tblPr>
      <w:tcPr>
        <w:shd w:val="clear" w:color="ffffff" w:fill="auto"/>
        <w:tcBorders>
          <w:top w:val="none" w:color="000000" w:sz="4" w:space="0"/>
          <w:left w:val="single" w:color="c0504d" w:themeColor="accent2" w:sz="4" w:space="0"/>
          <w:bottom w:val="none" w:color="000000" w:sz="4" w:space="0"/>
          <w:right w:val="none" w:color="000000" w:sz="4" w:space="0"/>
        </w:tcBorders>
      </w:tcPr>
    </w:tblStylePr>
    <w:tblStylePr w:type="lastRow">
      <w:rPr>
        <w:i/>
        <w:color w:val="da9796" w:themeColor="accent2" w:themeTint="96"/>
        <w:sz w:val="22"/>
      </w:rPr>
      <w:pPr>
        <w:pBdr/>
        <w:spacing/>
        <w:ind/>
      </w:pPr>
      <w:tblPr>
        <w:tblBorders/>
      </w:tblPr>
      <w:tcPr>
        <w:shd w:val="clear" w:color="ffffff" w:fill="ffffff" w:themeFill="light1"/>
        <w:tcBorders>
          <w:top w:val="single" w:color="c0504d"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4" w:customStyle="1">
    <w:name w:val="List Table 7 Colorful - Accent 3"/>
    <w:basedOn w:val="892"/>
    <w:uiPriority w:val="99"/>
    <w:pPr>
      <w:pBdr/>
      <w:spacing/>
      <w:ind/>
    </w:pPr>
    <w:tblPr>
      <w:tblBorders>
        <w:right w:val="single" w:color="c3d69b" w:themeColor="accent3" w:themeTint="98" w:sz="4" w:space="0"/>
      </w:tblBorders>
    </w:tblPr>
    <w:tcPr>
      <w:tcBorders/>
    </w:tcPr>
    <w:tblStylePr w:type="band1Horz">
      <w:rPr>
        <w:color w:val="c2d69b" w:themeColor="accent3" w:themeTint="99"/>
        <w:sz w:val="22"/>
      </w:rPr>
      <w:pPr>
        <w:pBdr/>
        <w:spacing/>
        <w:ind/>
      </w:pPr>
      <w:tblPr>
        <w:tblBorders/>
      </w:tblPr>
      <w:tcPr>
        <w:shd w:val="clear" w:color="e5eed5" w:fill="e5eed5" w:themeFill="accent3" w:themeFillTint="40"/>
        <w:tcBorders/>
      </w:tcPr>
    </w:tblStylePr>
    <w:tblStylePr w:type="band1Vert">
      <w:pPr>
        <w:pBdr/>
        <w:spacing/>
        <w:ind/>
      </w:pPr>
      <w:tblPr>
        <w:tblBorders/>
      </w:tblPr>
      <w:tcPr>
        <w:shd w:val="clear" w:color="e5eed5" w:fill="e5eed5" w:themeFill="accent3" w:themeFillTint="40"/>
        <w:tcBorders/>
      </w:tcPr>
    </w:tblStylePr>
    <w:tblStylePr w:type="band2Horz">
      <w:rPr>
        <w:color w:val="c2d69b" w:themeColor="accent3" w:themeTint="99"/>
        <w:sz w:val="22"/>
      </w:rPr>
      <w:pPr>
        <w:pBdr/>
        <w:spacing/>
        <w:ind/>
      </w:pPr>
      <w:tblPr>
        <w:tblBorders/>
      </w:tblPr>
      <w:tcPr>
        <w:tcBorders/>
      </w:tcPr>
    </w:tblStylePr>
    <w:tblStylePr w:type="band2Vert">
      <w:pPr>
        <w:pBdr/>
        <w:spacing/>
        <w:ind/>
      </w:pPr>
      <w:tblPr>
        <w:tblBorders/>
      </w:tblPr>
      <w:tcPr>
        <w:tcBorders/>
      </w:tcPr>
    </w:tblStylePr>
    <w:tblStylePr w:type="firstCol">
      <w:rPr>
        <w:i/>
        <w:color w:val="c2d69b" w:themeColor="accent3" w:themeTint="99"/>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bbb59" w:themeColor="accent3" w:sz="4" w:space="0"/>
        </w:tcBorders>
      </w:tcPr>
    </w:tblStylePr>
    <w:tblStylePr w:type="firstRow">
      <w:rPr>
        <w:i/>
        <w:color w:val="c2d69b" w:themeColor="accent3" w:themeTint="99"/>
        <w:sz w:val="22"/>
      </w:rPr>
      <w:pPr>
        <w:pBdr/>
        <w:spacing/>
        <w:ind/>
      </w:pPr>
      <w:tblPr>
        <w:tblBorders/>
      </w:tblPr>
      <w:tcPr>
        <w:shd w:val="clear" w:color="ffffff" w:fill="ffffff" w:themeFill="light1"/>
        <w:tcBorders>
          <w:top w:val="none" w:color="000000" w:sz="4" w:space="0"/>
          <w:left w:val="none" w:color="000000" w:sz="4" w:space="0"/>
          <w:bottom w:val="single" w:color="9bbb59" w:themeColor="accent3" w:sz="4" w:space="0"/>
          <w:right w:val="none" w:color="000000" w:sz="4" w:space="0"/>
        </w:tcBorders>
      </w:tcPr>
    </w:tblStylePr>
    <w:tblStylePr w:type="lastCol">
      <w:rPr>
        <w:i/>
        <w:color w:val="c2d69b" w:themeColor="accent3" w:themeTint="99"/>
        <w:sz w:val="22"/>
      </w:rPr>
      <w:pPr>
        <w:pBdr/>
        <w:spacing/>
        <w:ind/>
      </w:pPr>
      <w:tblPr>
        <w:tblBorders/>
      </w:tblPr>
      <w:tcPr>
        <w:shd w:val="clear" w:color="ffffff" w:fill="auto"/>
        <w:tcBorders>
          <w:top w:val="none" w:color="000000" w:sz="4" w:space="0"/>
          <w:left w:val="single" w:color="9bbb59" w:themeColor="accent3" w:sz="4" w:space="0"/>
          <w:bottom w:val="none" w:color="000000" w:sz="4" w:space="0"/>
          <w:right w:val="none" w:color="000000" w:sz="4" w:space="0"/>
        </w:tcBorders>
      </w:tcPr>
    </w:tblStylePr>
    <w:tblStylePr w:type="lastRow">
      <w:rPr>
        <w:i/>
        <w:color w:val="c2d69b" w:themeColor="accent3" w:themeTint="99"/>
        <w:sz w:val="22"/>
      </w:rPr>
      <w:pPr>
        <w:pBdr/>
        <w:spacing/>
        <w:ind/>
      </w:pPr>
      <w:tblPr>
        <w:tblBorders/>
      </w:tblPr>
      <w:tcPr>
        <w:shd w:val="clear" w:color="ffffff" w:fill="ffffff" w:themeFill="light1"/>
        <w:tcBorders>
          <w:top w:val="single" w:color="9bbb59"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5" w:customStyle="1">
    <w:name w:val="List Table 7 Colorful - Accent 4"/>
    <w:basedOn w:val="892"/>
    <w:uiPriority w:val="99"/>
    <w:pPr>
      <w:pBdr/>
      <w:spacing/>
      <w:ind/>
    </w:pPr>
    <w:tblPr>
      <w:tblBorders>
        <w:right w:val="single" w:color="b2a1c6" w:themeColor="accent4" w:themeTint="9A" w:sz="4" w:space="0"/>
      </w:tblBorders>
    </w:tblPr>
    <w:tcPr>
      <w:tcBorders/>
    </w:tcPr>
    <w:tblStylePr w:type="band1Horz">
      <w:rPr>
        <w:color w:val="b2a1c7" w:themeColor="accent4" w:themeTint="99"/>
        <w:sz w:val="22"/>
      </w:rPr>
      <w:pPr>
        <w:pBdr/>
        <w:spacing/>
        <w:ind/>
      </w:pPr>
      <w:tblPr>
        <w:tblBorders/>
      </w:tblPr>
      <w:tcPr>
        <w:shd w:val="clear" w:color="dfd8e7" w:fill="dfd8e7" w:themeFill="accent4" w:themeFillTint="40"/>
        <w:tcBorders/>
      </w:tcPr>
    </w:tblStylePr>
    <w:tblStylePr w:type="band1Vert">
      <w:pPr>
        <w:pBdr/>
        <w:spacing/>
        <w:ind/>
      </w:pPr>
      <w:tblPr>
        <w:tblBorders/>
      </w:tblPr>
      <w:tcPr>
        <w:shd w:val="clear" w:color="dfd8e7" w:fill="dfd8e7" w:themeFill="accent4" w:themeFillTint="40"/>
        <w:tcBorders/>
      </w:tcPr>
    </w:tblStylePr>
    <w:tblStylePr w:type="band2Horz">
      <w:rPr>
        <w:color w:val="b2a1c7" w:themeColor="accent4" w:themeTint="99"/>
        <w:sz w:val="22"/>
      </w:rPr>
      <w:pPr>
        <w:pBdr/>
        <w:spacing/>
        <w:ind/>
      </w:pPr>
      <w:tblPr>
        <w:tblBorders/>
      </w:tblPr>
      <w:tcPr>
        <w:tcBorders/>
      </w:tcPr>
    </w:tblStylePr>
    <w:tblStylePr w:type="band2Vert">
      <w:pPr>
        <w:pBdr/>
        <w:spacing/>
        <w:ind/>
      </w:pPr>
      <w:tblPr>
        <w:tblBorders/>
      </w:tblPr>
      <w:tcPr>
        <w:tcBorders/>
      </w:tcPr>
    </w:tblStylePr>
    <w:tblStylePr w:type="firstCol">
      <w:rPr>
        <w:i/>
        <w:color w:val="b2a1c7" w:themeColor="accent4" w:themeTint="99"/>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8064a2" w:themeColor="accent4" w:sz="4" w:space="0"/>
        </w:tcBorders>
      </w:tcPr>
    </w:tblStylePr>
    <w:tblStylePr w:type="firstRow">
      <w:rPr>
        <w:i/>
        <w:color w:val="b2a1c7" w:themeColor="accent4" w:themeTint="99"/>
        <w:sz w:val="22"/>
      </w:rPr>
      <w:pPr>
        <w:pBdr/>
        <w:spacing/>
        <w:ind/>
      </w:pPr>
      <w:tblPr>
        <w:tblBorders/>
      </w:tblPr>
      <w:tcPr>
        <w:shd w:val="clear" w:color="ffffff" w:fill="ffffff" w:themeFill="light1"/>
        <w:tcBorders>
          <w:top w:val="none" w:color="000000" w:sz="4" w:space="0"/>
          <w:left w:val="none" w:color="000000" w:sz="4" w:space="0"/>
          <w:bottom w:val="single" w:color="8064a2" w:themeColor="accent4" w:sz="4" w:space="0"/>
          <w:right w:val="none" w:color="000000" w:sz="4" w:space="0"/>
        </w:tcBorders>
      </w:tcPr>
    </w:tblStylePr>
    <w:tblStylePr w:type="lastCol">
      <w:rPr>
        <w:i/>
        <w:color w:val="b2a1c7" w:themeColor="accent4" w:themeTint="99"/>
        <w:sz w:val="22"/>
      </w:rPr>
      <w:pPr>
        <w:pBdr/>
        <w:spacing/>
        <w:ind/>
      </w:pPr>
      <w:tblPr>
        <w:tblBorders/>
      </w:tblPr>
      <w:tcPr>
        <w:shd w:val="clear" w:color="ffffff" w:fill="auto"/>
        <w:tcBorders>
          <w:top w:val="none" w:color="000000" w:sz="4" w:space="0"/>
          <w:left w:val="single" w:color="8064a2" w:themeColor="accent4" w:sz="4" w:space="0"/>
          <w:bottom w:val="none" w:color="000000" w:sz="4" w:space="0"/>
          <w:right w:val="none" w:color="000000" w:sz="4" w:space="0"/>
        </w:tcBorders>
      </w:tcPr>
    </w:tblStylePr>
    <w:tblStylePr w:type="lastRow">
      <w:rPr>
        <w:i/>
        <w:color w:val="b2a1c7" w:themeColor="accent4" w:themeTint="99"/>
        <w:sz w:val="22"/>
      </w:rPr>
      <w:pPr>
        <w:pBdr/>
        <w:spacing/>
        <w:ind/>
      </w:pPr>
      <w:tblPr>
        <w:tblBorders/>
      </w:tblPr>
      <w:tcPr>
        <w:shd w:val="clear" w:color="ffffff" w:fill="ffffff" w:themeFill="light1"/>
        <w:tcBorders>
          <w:top w:val="single" w:color="8064a2"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6" w:customStyle="1">
    <w:name w:val="List Table 7 Colorful - Accent 5"/>
    <w:basedOn w:val="892"/>
    <w:uiPriority w:val="99"/>
    <w:pPr>
      <w:pBdr/>
      <w:spacing/>
      <w:ind/>
    </w:pPr>
    <w:tblPr>
      <w:tblBorders>
        <w:right w:val="single" w:color="92ccdc" w:themeColor="accent5" w:themeTint="9A" w:sz="4" w:space="0"/>
      </w:tblBorders>
    </w:tblPr>
    <w:tcPr>
      <w:tcBorders/>
    </w:tcPr>
    <w:tblStylePr w:type="band1Horz">
      <w:rPr>
        <w:color w:val="92cddc" w:themeColor="accent5" w:themeTint="99"/>
        <w:sz w:val="22"/>
      </w:rPr>
      <w:pPr>
        <w:pBdr/>
        <w:spacing/>
        <w:ind/>
      </w:pPr>
      <w:tblPr>
        <w:tblBorders/>
      </w:tblPr>
      <w:tcPr>
        <w:shd w:val="clear" w:color="d1eaf0" w:fill="d1eaf0" w:themeFill="accent5" w:themeFillTint="40"/>
        <w:tcBorders/>
      </w:tcPr>
    </w:tblStylePr>
    <w:tblStylePr w:type="band1Vert">
      <w:pPr>
        <w:pBdr/>
        <w:spacing/>
        <w:ind/>
      </w:pPr>
      <w:tblPr>
        <w:tblBorders/>
      </w:tblPr>
      <w:tcPr>
        <w:shd w:val="clear" w:color="d1eaf0" w:fill="d1eaf0" w:themeFill="accent5" w:themeFillTint="40"/>
        <w:tcBorders/>
      </w:tcPr>
    </w:tblStylePr>
    <w:tblStylePr w:type="band2Horz">
      <w:rPr>
        <w:color w:val="92cddc" w:themeColor="accent5" w:themeTint="99"/>
        <w:sz w:val="22"/>
      </w:rPr>
      <w:pPr>
        <w:pBdr/>
        <w:spacing/>
        <w:ind/>
      </w:pPr>
      <w:tblPr>
        <w:tblBorders/>
      </w:tblPr>
      <w:tcPr>
        <w:tcBorders/>
      </w:tcPr>
    </w:tblStylePr>
    <w:tblStylePr w:type="band2Vert">
      <w:pPr>
        <w:pBdr/>
        <w:spacing/>
        <w:ind/>
      </w:pPr>
      <w:tblPr>
        <w:tblBorders/>
      </w:tblPr>
      <w:tcPr>
        <w:tcBorders/>
      </w:tcPr>
    </w:tblStylePr>
    <w:tblStylePr w:type="firstCol">
      <w:rPr>
        <w:i/>
        <w:color w:val="92cddc" w:themeColor="accent5" w:themeTint="99"/>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4bacc6" w:themeColor="accent5" w:sz="4" w:space="0"/>
        </w:tcBorders>
      </w:tcPr>
    </w:tblStylePr>
    <w:tblStylePr w:type="firstRow">
      <w:rPr>
        <w:i/>
        <w:color w:val="92cddc" w:themeColor="accent5" w:themeTint="99"/>
        <w:sz w:val="22"/>
      </w:rPr>
      <w:pPr>
        <w:pBdr/>
        <w:spacing/>
        <w:ind/>
      </w:pPr>
      <w:tblPr>
        <w:tblBorders/>
      </w:tblPr>
      <w:tcPr>
        <w:shd w:val="clear" w:color="ffffff" w:fill="ffffff" w:themeFill="light1"/>
        <w:tcBorders>
          <w:top w:val="none" w:color="000000" w:sz="4" w:space="0"/>
          <w:left w:val="none" w:color="000000" w:sz="4" w:space="0"/>
          <w:bottom w:val="single" w:color="4bacc6" w:themeColor="accent5" w:sz="4" w:space="0"/>
          <w:right w:val="none" w:color="000000" w:sz="4" w:space="0"/>
        </w:tcBorders>
      </w:tcPr>
    </w:tblStylePr>
    <w:tblStylePr w:type="lastCol">
      <w:rPr>
        <w:i/>
        <w:color w:val="92cddc" w:themeColor="accent5" w:themeTint="99"/>
        <w:sz w:val="22"/>
      </w:rPr>
      <w:pPr>
        <w:pBdr/>
        <w:spacing/>
        <w:ind/>
      </w:pPr>
      <w:tblPr>
        <w:tblBorders/>
      </w:tblPr>
      <w:tcPr>
        <w:shd w:val="clear" w:color="ffffff" w:fill="auto"/>
        <w:tcBorders>
          <w:top w:val="none" w:color="000000" w:sz="4" w:space="0"/>
          <w:left w:val="single" w:color="4bacc6" w:themeColor="accent5" w:sz="4" w:space="0"/>
          <w:bottom w:val="none" w:color="000000" w:sz="4" w:space="0"/>
          <w:right w:val="none" w:color="000000" w:sz="4" w:space="0"/>
        </w:tcBorders>
      </w:tcPr>
    </w:tblStylePr>
    <w:tblStylePr w:type="lastRow">
      <w:rPr>
        <w:i/>
        <w:color w:val="92cddc" w:themeColor="accent5" w:themeTint="99"/>
        <w:sz w:val="22"/>
      </w:rPr>
      <w:pPr>
        <w:pBdr/>
        <w:spacing/>
        <w:ind/>
      </w:pPr>
      <w:tblPr>
        <w:tblBorders/>
      </w:tblPr>
      <w:tcPr>
        <w:shd w:val="clear" w:color="ffffff" w:fill="ffffff" w:themeFill="light1"/>
        <w:tcBorders>
          <w:top w:val="single" w:color="4bacc6"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7" w:customStyle="1">
    <w:name w:val="List Table 7 Colorful - Accent 6"/>
    <w:basedOn w:val="892"/>
    <w:uiPriority w:val="99"/>
    <w:pPr>
      <w:pBdr/>
      <w:spacing/>
      <w:ind/>
    </w:pPr>
    <w:tblPr>
      <w:tblBorders>
        <w:right w:val="single" w:color="fac090" w:themeColor="accent6" w:themeTint="98" w:sz="4" w:space="0"/>
      </w:tblBorders>
    </w:tblPr>
    <w:tcPr>
      <w:tcBorders/>
    </w:tcPr>
    <w:tblStylePr w:type="band1Horz">
      <w:rPr>
        <w:color w:val="fabf8f" w:themeColor="accent6" w:themeTint="99"/>
        <w:sz w:val="22"/>
      </w:rPr>
      <w:pPr>
        <w:pBdr/>
        <w:spacing/>
        <w:ind/>
      </w:pPr>
      <w:tblPr>
        <w:tblBorders/>
      </w:tblPr>
      <w:tcPr>
        <w:shd w:val="clear" w:color="fde4d0" w:fill="fde4d0" w:themeFill="accent6" w:themeFillTint="40"/>
        <w:tcBorders/>
      </w:tcPr>
    </w:tblStylePr>
    <w:tblStylePr w:type="band1Vert">
      <w:pPr>
        <w:pBdr/>
        <w:spacing/>
        <w:ind/>
      </w:pPr>
      <w:tblPr>
        <w:tblBorders/>
      </w:tblPr>
      <w:tcPr>
        <w:shd w:val="clear" w:color="fde4d0" w:fill="fde4d0" w:themeFill="accent6" w:themeFillTint="40"/>
        <w:tcBorders/>
      </w:tcPr>
    </w:tblStylePr>
    <w:tblStylePr w:type="band2Horz">
      <w:rPr>
        <w:color w:val="fabf8f" w:themeColor="accent6" w:themeTint="99"/>
        <w:sz w:val="22"/>
      </w:rPr>
      <w:pPr>
        <w:pBdr/>
        <w:spacing/>
        <w:ind/>
      </w:pPr>
      <w:tblPr>
        <w:tblBorders/>
      </w:tblPr>
      <w:tcPr>
        <w:tcBorders/>
      </w:tcPr>
    </w:tblStylePr>
    <w:tblStylePr w:type="band2Vert">
      <w:pPr>
        <w:pBdr/>
        <w:spacing/>
        <w:ind/>
      </w:pPr>
      <w:tblPr>
        <w:tblBorders/>
      </w:tblPr>
      <w:tcPr>
        <w:tcBorders/>
      </w:tcPr>
    </w:tblStylePr>
    <w:tblStylePr w:type="firstCol">
      <w:rPr>
        <w:i/>
        <w:color w:val="fabf8f" w:themeColor="accent6" w:themeTint="99"/>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79646" w:themeColor="accent6" w:sz="4" w:space="0"/>
        </w:tcBorders>
      </w:tcPr>
    </w:tblStylePr>
    <w:tblStylePr w:type="firstRow">
      <w:rPr>
        <w:i/>
        <w:color w:val="fabf8f" w:themeColor="accent6" w:themeTint="99"/>
        <w:sz w:val="22"/>
      </w:rPr>
      <w:pPr>
        <w:pBdr/>
        <w:spacing/>
        <w:ind/>
      </w:pPr>
      <w:tblPr>
        <w:tblBorders/>
      </w:tblPr>
      <w:tcPr>
        <w:shd w:val="clear" w:color="ffffff" w:fill="ffffff" w:themeFill="light1"/>
        <w:tcBorders>
          <w:top w:val="none" w:color="000000" w:sz="4" w:space="0"/>
          <w:left w:val="none" w:color="000000" w:sz="4" w:space="0"/>
          <w:bottom w:val="single" w:color="f79646" w:themeColor="accent6" w:sz="4" w:space="0"/>
          <w:right w:val="none" w:color="000000" w:sz="4" w:space="0"/>
        </w:tcBorders>
      </w:tcPr>
    </w:tblStylePr>
    <w:tblStylePr w:type="lastCol">
      <w:rPr>
        <w:i/>
        <w:color w:val="fabf8f" w:themeColor="accent6" w:themeTint="99"/>
        <w:sz w:val="22"/>
      </w:rPr>
      <w:pPr>
        <w:pBdr/>
        <w:spacing/>
        <w:ind/>
      </w:pPr>
      <w:tblPr>
        <w:tblBorders/>
      </w:tblPr>
      <w:tcPr>
        <w:shd w:val="clear" w:color="ffffff" w:fill="auto"/>
        <w:tcBorders>
          <w:top w:val="none" w:color="000000" w:sz="4" w:space="0"/>
          <w:left w:val="single" w:color="f79646" w:themeColor="accent6" w:sz="4" w:space="0"/>
          <w:bottom w:val="none" w:color="000000" w:sz="4" w:space="0"/>
          <w:right w:val="none" w:color="000000" w:sz="4" w:space="0"/>
        </w:tcBorders>
      </w:tcPr>
    </w:tblStylePr>
    <w:tblStylePr w:type="lastRow">
      <w:rPr>
        <w:i/>
        <w:color w:val="fabf8f" w:themeColor="accent6" w:themeTint="99"/>
        <w:sz w:val="22"/>
      </w:rPr>
      <w:pPr>
        <w:pBdr/>
        <w:spacing/>
        <w:ind/>
      </w:pPr>
      <w:tblPr>
        <w:tblBorders/>
      </w:tblPr>
      <w:tcPr>
        <w:shd w:val="clear" w:color="ffffff" w:fill="ffffff" w:themeFill="light1"/>
        <w:tcBorders>
          <w:top w:val="single" w:color="f79646"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8" w:customStyle="1">
    <w:name w:val="Lined - Accent"/>
    <w:basedOn w:val="892"/>
    <w:uiPriority w:val="99"/>
    <w:pPr>
      <w:pBdr/>
      <w:spacing/>
      <w:ind/>
    </w:pPr>
    <w:tblPr>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2f2f2" w:fill="f2f2f2" w:themeFill="text1" w:themeFillTint="0D"/>
        <w:tcBorders/>
      </w:tcPr>
    </w:tblStylePr>
    <w:tblStylePr w:type="band2Vert">
      <w:rPr>
        <w:sz w:val="22"/>
      </w:rPr>
      <w:pPr>
        <w:pBdr/>
        <w:spacing/>
        <w:ind/>
      </w:pPr>
      <w:tblPr>
        <w:tblBorders/>
      </w:tblPr>
      <w:tcPr>
        <w:shd w:val="clear" w:color="f2f2f2" w:fill="f2f2f2" w:themeFill="text1" w:themeFillTint="0D"/>
        <w:tcBorders/>
      </w:tcPr>
    </w:tblStylePr>
    <w:tblStylePr w:type="firstCol">
      <w:rPr>
        <w:sz w:val="22"/>
      </w:rPr>
      <w:pPr>
        <w:pBdr/>
        <w:spacing/>
        <w:ind/>
      </w:pPr>
      <w:tblPr>
        <w:tblBorders/>
      </w:tblPr>
      <w:tcPr>
        <w:shd w:val="clear" w:color="7f7f7f" w:fill="7f7f7f" w:themeFill="text1" w:themeFillTint="80"/>
        <w:tcBorders/>
      </w:tcPr>
    </w:tblStylePr>
    <w:tblStylePr w:type="firstRow">
      <w:rPr>
        <w:sz w:val="22"/>
      </w:rPr>
      <w:pPr>
        <w:pBdr/>
        <w:spacing/>
        <w:ind/>
      </w:pPr>
      <w:tblPr>
        <w:tblBorders/>
      </w:tblPr>
      <w:tcPr>
        <w:shd w:val="clear" w:color="7f7f7f" w:fill="7f7f7f" w:themeFill="text1" w:themeFillTint="80"/>
        <w:tcBorders/>
      </w:tcPr>
    </w:tblStylePr>
    <w:tblStylePr w:type="lastCol">
      <w:rPr>
        <w:sz w:val="22"/>
      </w:rPr>
      <w:pPr>
        <w:pBdr/>
        <w:spacing/>
        <w:ind/>
      </w:pPr>
      <w:tblPr>
        <w:tblBorders/>
      </w:tblPr>
      <w:tcPr>
        <w:shd w:val="clear" w:color="7f7f7f" w:fill="7f7f7f" w:themeFill="text1" w:themeFillTint="80"/>
        <w:tcBorders/>
      </w:tcPr>
    </w:tblStylePr>
    <w:tblStylePr w:type="lastRow">
      <w:rPr>
        <w:sz w:val="22"/>
      </w:rPr>
      <w:pPr>
        <w:pBdr/>
        <w:spacing/>
        <w:ind/>
      </w:pPr>
      <w:tblPr>
        <w:tblBorders/>
      </w:tblPr>
      <w:tcPr>
        <w:shd w:val="clear" w:color="7f7f7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9" w:customStyle="1">
    <w:name w:val="Lined - Accent 1"/>
    <w:basedOn w:val="892"/>
    <w:uiPriority w:val="99"/>
    <w:pPr>
      <w:pBdr/>
      <w:spacing/>
      <w:ind/>
    </w:pPr>
    <w:tblPr>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c7d7ea" w:fill="c7d7ea" w:themeFill="accent1" w:themeFillTint="50"/>
        <w:tcBorders/>
      </w:tcPr>
    </w:tblStylePr>
    <w:tblStylePr w:type="band2Vert">
      <w:rPr>
        <w:sz w:val="22"/>
      </w:rPr>
      <w:pPr>
        <w:pBdr/>
        <w:spacing/>
        <w:ind/>
      </w:pPr>
      <w:tblPr>
        <w:tblBorders/>
      </w:tblPr>
      <w:tcPr>
        <w:shd w:val="clear" w:color="c7d7ea" w:fill="c7d7ea" w:themeFill="accent1" w:themeFillTint="50"/>
        <w:tcBorders/>
      </w:tcPr>
    </w:tblStylePr>
    <w:tblStylePr w:type="firstCol">
      <w:rPr>
        <w:sz w:val="22"/>
      </w:rPr>
      <w:pPr>
        <w:pBdr/>
        <w:spacing/>
        <w:ind/>
      </w:pPr>
      <w:tblPr>
        <w:tblBorders/>
      </w:tblPr>
      <w:tcPr>
        <w:shd w:val="clear" w:color="5d8ac2" w:fill="5d8ac2" w:themeFill="accent1" w:themeFillTint="EA"/>
        <w:tcBorders/>
      </w:tcPr>
    </w:tblStylePr>
    <w:tblStylePr w:type="firstRow">
      <w:rPr>
        <w:sz w:val="22"/>
      </w:rPr>
      <w:pPr>
        <w:pBdr/>
        <w:spacing/>
        <w:ind/>
      </w:pPr>
      <w:tblPr>
        <w:tblBorders/>
      </w:tblPr>
      <w:tcPr>
        <w:shd w:val="clear" w:color="5d8ac2" w:fill="5d8ac2" w:themeFill="accent1" w:themeFillTint="EA"/>
        <w:tcBorders/>
      </w:tcPr>
    </w:tblStylePr>
    <w:tblStylePr w:type="lastCol">
      <w:rPr>
        <w:sz w:val="22"/>
      </w:rPr>
      <w:pPr>
        <w:pBdr/>
        <w:spacing/>
        <w:ind/>
      </w:pPr>
      <w:tblPr>
        <w:tblBorders/>
      </w:tblPr>
      <w:tcPr>
        <w:shd w:val="clear" w:color="5d8ac2" w:fill="5d8ac2" w:themeFill="accent1" w:themeFillTint="EA"/>
        <w:tcBorders/>
      </w:tcPr>
    </w:tblStylePr>
    <w:tblStylePr w:type="lastRow">
      <w:rPr>
        <w:sz w:val="22"/>
      </w:rPr>
      <w:pPr>
        <w:pBdr/>
        <w:spacing/>
        <w:ind/>
      </w:pPr>
      <w:tblPr>
        <w:tblBorders/>
      </w:tblPr>
      <w:tcPr>
        <w:shd w:val="clear" w:color="5d8ac2" w:fill="5d8a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0" w:customStyle="1">
    <w:name w:val="Lined - Accent 2"/>
    <w:basedOn w:val="892"/>
    <w:uiPriority w:val="99"/>
    <w:pPr>
      <w:pBdr/>
      <w:spacing/>
      <w:ind/>
    </w:pPr>
    <w:tblPr>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2dcdc" w:fill="f2dcdc" w:themeFill="accent2" w:themeFillTint="32"/>
        <w:tcBorders/>
      </w:tcPr>
    </w:tblStylePr>
    <w:tblStylePr w:type="band2Vert">
      <w:rPr>
        <w:sz w:val="22"/>
      </w:rPr>
      <w:pPr>
        <w:pBdr/>
        <w:spacing/>
        <w:ind/>
      </w:pPr>
      <w:tblPr>
        <w:tblBorders/>
      </w:tblPr>
      <w:tcPr>
        <w:shd w:val="clear" w:color="f2dcdc" w:fill="f2dcdc" w:themeFill="accent2" w:themeFillTint="32"/>
        <w:tcBorders/>
      </w:tcPr>
    </w:tblStylePr>
    <w:tblStylePr w:type="firstCol">
      <w:rPr>
        <w:sz w:val="22"/>
      </w:rPr>
      <w:pPr>
        <w:pBdr/>
        <w:spacing/>
        <w:ind/>
      </w:pPr>
      <w:tblPr>
        <w:tblBorders/>
      </w:tblPr>
      <w:tcPr>
        <w:shd w:val="clear" w:color="d99695" w:fill="d99695" w:themeFill="accent2" w:themeFillTint="97"/>
        <w:tcBorders/>
      </w:tcPr>
    </w:tblStylePr>
    <w:tblStylePr w:type="firstRow">
      <w:rPr>
        <w:sz w:val="22"/>
      </w:rPr>
      <w:pPr>
        <w:pBdr/>
        <w:spacing/>
        <w:ind/>
      </w:pPr>
      <w:tblPr>
        <w:tblBorders/>
      </w:tblPr>
      <w:tcPr>
        <w:shd w:val="clear" w:color="d99695" w:fill="d99695" w:themeFill="accent2" w:themeFillTint="97"/>
        <w:tcBorders/>
      </w:tcPr>
    </w:tblStylePr>
    <w:tblStylePr w:type="lastCol">
      <w:rPr>
        <w:sz w:val="22"/>
      </w:rPr>
      <w:pPr>
        <w:pBdr/>
        <w:spacing/>
        <w:ind/>
      </w:pPr>
      <w:tblPr>
        <w:tblBorders/>
      </w:tblPr>
      <w:tcPr>
        <w:shd w:val="clear" w:color="d99695" w:fill="d99695" w:themeFill="accent2" w:themeFillTint="97"/>
        <w:tcBorders/>
      </w:tcPr>
    </w:tblStylePr>
    <w:tblStylePr w:type="lastRow">
      <w:rPr>
        <w:sz w:val="22"/>
      </w:rPr>
      <w:pPr>
        <w:pBdr/>
        <w:spacing/>
        <w:ind/>
      </w:pPr>
      <w:tblPr>
        <w:tblBorders/>
      </w:tblPr>
      <w:tcPr>
        <w:shd w:val="clear" w:color="d99695" w:fill="d9969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1" w:customStyle="1">
    <w:name w:val="Lined - Accent 3"/>
    <w:basedOn w:val="892"/>
    <w:uiPriority w:val="99"/>
    <w:pPr>
      <w:pBdr/>
      <w:spacing/>
      <w:ind/>
    </w:pPr>
    <w:tblPr>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eaf1dc" w:fill="eaf1dc" w:themeFill="accent3" w:themeFillTint="34"/>
        <w:tcBorders/>
      </w:tcPr>
    </w:tblStylePr>
    <w:tblStylePr w:type="band2Vert">
      <w:rPr>
        <w:sz w:val="22"/>
      </w:rPr>
      <w:pPr>
        <w:pBdr/>
        <w:spacing/>
        <w:ind/>
      </w:pPr>
      <w:tblPr>
        <w:tblBorders/>
      </w:tblPr>
      <w:tcPr>
        <w:shd w:val="clear" w:color="eaf1dc" w:fill="eaf1dc" w:themeFill="accent3" w:themeFillTint="34"/>
        <w:tcBorders/>
      </w:tcPr>
    </w:tblStylePr>
    <w:tblStylePr w:type="firstCol">
      <w:rPr>
        <w:sz w:val="22"/>
      </w:rPr>
      <w:pPr>
        <w:pBdr/>
        <w:spacing/>
        <w:ind/>
      </w:pPr>
      <w:tblPr>
        <w:tblBorders/>
      </w:tblPr>
      <w:tcPr>
        <w:shd w:val="clear" w:color="9abb59" w:fill="9abb59" w:themeFill="accent3" w:themeFillTint="FE"/>
        <w:tcBorders/>
      </w:tcPr>
    </w:tblStylePr>
    <w:tblStylePr w:type="firstRow">
      <w:rPr>
        <w:sz w:val="22"/>
      </w:rPr>
      <w:pPr>
        <w:pBdr/>
        <w:spacing/>
        <w:ind/>
      </w:pPr>
      <w:tblPr>
        <w:tblBorders/>
      </w:tblPr>
      <w:tcPr>
        <w:shd w:val="clear" w:color="9abb59" w:fill="9abb59" w:themeFill="accent3" w:themeFillTint="FE"/>
        <w:tcBorders/>
      </w:tcPr>
    </w:tblStylePr>
    <w:tblStylePr w:type="lastCol">
      <w:rPr>
        <w:sz w:val="22"/>
      </w:rPr>
      <w:pPr>
        <w:pBdr/>
        <w:spacing/>
        <w:ind/>
      </w:pPr>
      <w:tblPr>
        <w:tblBorders/>
      </w:tblPr>
      <w:tcPr>
        <w:shd w:val="clear" w:color="9abb59" w:fill="9abb59" w:themeFill="accent3" w:themeFillTint="FE"/>
        <w:tcBorders/>
      </w:tcPr>
    </w:tblStylePr>
    <w:tblStylePr w:type="lastRow">
      <w:rPr>
        <w:sz w:val="22"/>
      </w:rPr>
      <w:pPr>
        <w:pBdr/>
        <w:spacing/>
        <w:ind/>
      </w:pPr>
      <w:tblPr>
        <w:tblBorders/>
      </w:tblPr>
      <w:tcPr>
        <w:shd w:val="clear" w:color="9abb59" w:fill="9abb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2" w:customStyle="1">
    <w:name w:val="Lined - Accent 4"/>
    <w:basedOn w:val="892"/>
    <w:uiPriority w:val="99"/>
    <w:pPr>
      <w:pBdr/>
      <w:spacing/>
      <w:ind/>
    </w:pPr>
    <w:tblPr>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e5dfec" w:fill="e5dfec" w:themeFill="accent4" w:themeFillTint="34"/>
        <w:tcBorders/>
      </w:tcPr>
    </w:tblStylePr>
    <w:tblStylePr w:type="band2Vert">
      <w:rPr>
        <w:sz w:val="22"/>
      </w:rPr>
      <w:pPr>
        <w:pBdr/>
        <w:spacing/>
        <w:ind/>
      </w:pPr>
      <w:tblPr>
        <w:tblBorders/>
      </w:tblPr>
      <w:tcPr>
        <w:shd w:val="clear" w:color="e5dfec" w:fill="e5dfec" w:themeFill="accent4" w:themeFillTint="34"/>
        <w:tcBorders/>
      </w:tcPr>
    </w:tblStylePr>
    <w:tblStylePr w:type="firstCol">
      <w:rPr>
        <w:sz w:val="22"/>
      </w:rPr>
      <w:pPr>
        <w:pBdr/>
        <w:spacing/>
        <w:ind/>
      </w:pPr>
      <w:tblPr>
        <w:tblBorders/>
      </w:tblPr>
      <w:tcPr>
        <w:shd w:val="clear" w:color="b2a1c6" w:fill="b2a1c6" w:themeFill="accent4" w:themeFillTint="9A"/>
        <w:tcBorders/>
      </w:tcPr>
    </w:tblStylePr>
    <w:tblStylePr w:type="firstRow">
      <w:rPr>
        <w:sz w:val="22"/>
      </w:rPr>
      <w:pPr>
        <w:pBdr/>
        <w:spacing/>
        <w:ind/>
      </w:pPr>
      <w:tblPr>
        <w:tblBorders/>
      </w:tblPr>
      <w:tcPr>
        <w:shd w:val="clear" w:color="b2a1c6" w:fill="b2a1c6" w:themeFill="accent4" w:themeFillTint="9A"/>
        <w:tcBorders/>
      </w:tcPr>
    </w:tblStylePr>
    <w:tblStylePr w:type="lastCol">
      <w:rPr>
        <w:sz w:val="22"/>
      </w:rPr>
      <w:pPr>
        <w:pBdr/>
        <w:spacing/>
        <w:ind/>
      </w:pPr>
      <w:tblPr>
        <w:tblBorders/>
      </w:tblPr>
      <w:tcPr>
        <w:shd w:val="clear" w:color="b2a1c6" w:fill="b2a1c6" w:themeFill="accent4" w:themeFillTint="9A"/>
        <w:tcBorders/>
      </w:tcPr>
    </w:tblStylePr>
    <w:tblStylePr w:type="lastRow">
      <w:rPr>
        <w:sz w:val="22"/>
      </w:rPr>
      <w:pPr>
        <w:pBdr/>
        <w:spacing/>
        <w:ind/>
      </w:pPr>
      <w:tblPr>
        <w:tblBorders/>
      </w:tblPr>
      <w:tcPr>
        <w:shd w:val="clear" w:color="b2a1c6"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3" w:customStyle="1">
    <w:name w:val="Lined - Accent 5"/>
    <w:basedOn w:val="892"/>
    <w:uiPriority w:val="99"/>
    <w:pPr>
      <w:pBdr/>
      <w:spacing/>
      <w:ind/>
    </w:pPr>
    <w:tblPr>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daeef3" w:fill="daeef3" w:themeFill="accent5" w:themeFillTint="34"/>
        <w:tcBorders/>
      </w:tcPr>
    </w:tblStylePr>
    <w:tblStylePr w:type="band2Vert">
      <w:rPr>
        <w:sz w:val="22"/>
      </w:rPr>
      <w:pPr>
        <w:pBdr/>
        <w:spacing/>
        <w:ind/>
      </w:pPr>
      <w:tblPr>
        <w:tblBorders/>
      </w:tblPr>
      <w:tcPr>
        <w:shd w:val="clear" w:color="daeef3" w:fill="daeef3" w:themeFill="accent5" w:themeFillTint="34"/>
        <w:tcBorders/>
      </w:tcPr>
    </w:tblStylePr>
    <w:tblStylePr w:type="firstCol">
      <w:rPr>
        <w:sz w:val="22"/>
      </w:rPr>
      <w:pPr>
        <w:pBdr/>
        <w:spacing/>
        <w:ind/>
      </w:pPr>
      <w:tblPr>
        <w:tblBorders/>
      </w:tblPr>
      <w:tcPr>
        <w:shd w:val="clear" w:color="4bacc6" w:fill="4bacc6" w:themeFill="accent5"/>
        <w:tcBorders/>
      </w:tcPr>
    </w:tblStylePr>
    <w:tblStylePr w:type="firstRow">
      <w:rPr>
        <w:sz w:val="22"/>
      </w:rPr>
      <w:pPr>
        <w:pBdr/>
        <w:spacing/>
        <w:ind/>
      </w:pPr>
      <w:tblPr>
        <w:tblBorders/>
      </w:tblPr>
      <w:tcPr>
        <w:shd w:val="clear" w:color="4bacc6" w:fill="4bacc6" w:themeFill="accent5"/>
        <w:tcBorders/>
      </w:tcPr>
    </w:tblStylePr>
    <w:tblStylePr w:type="lastCol">
      <w:rPr>
        <w:sz w:val="22"/>
      </w:rPr>
      <w:pPr>
        <w:pBdr/>
        <w:spacing/>
        <w:ind/>
      </w:pPr>
      <w:tblPr>
        <w:tblBorders/>
      </w:tblPr>
      <w:tcPr>
        <w:shd w:val="clear" w:color="4bacc6" w:fill="4bacc6" w:themeFill="accent5"/>
        <w:tcBorders/>
      </w:tcPr>
    </w:tblStylePr>
    <w:tblStylePr w:type="lastRow">
      <w:rPr>
        <w:sz w:val="22"/>
      </w:rPr>
      <w:pPr>
        <w:pBdr/>
        <w:spacing/>
        <w:ind/>
      </w:pPr>
      <w:tblPr>
        <w:tblBorders/>
      </w:tblPr>
      <w:tcPr>
        <w:shd w:val="clear" w:color="4bacc6"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4" w:customStyle="1">
    <w:name w:val="Lined - Accent 6"/>
    <w:basedOn w:val="892"/>
    <w:uiPriority w:val="99"/>
    <w:pPr>
      <w:pBdr/>
      <w:spacing/>
      <w:ind/>
    </w:pPr>
    <w:tblPr>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de9d8" w:fill="fde9d8" w:themeFill="accent6" w:themeFillTint="34"/>
        <w:tcBorders/>
      </w:tcPr>
    </w:tblStylePr>
    <w:tblStylePr w:type="band2Vert">
      <w:rPr>
        <w:sz w:val="22"/>
      </w:rPr>
      <w:pPr>
        <w:pBdr/>
        <w:spacing/>
        <w:ind/>
      </w:pPr>
      <w:tblPr>
        <w:tblBorders/>
      </w:tblPr>
      <w:tcPr>
        <w:shd w:val="clear" w:color="fde9d8" w:fill="fde9d8" w:themeFill="accent6" w:themeFillTint="34"/>
        <w:tcBorders/>
      </w:tcPr>
    </w:tblStylePr>
    <w:tblStylePr w:type="firstCol">
      <w:rPr>
        <w:sz w:val="22"/>
      </w:rPr>
      <w:pPr>
        <w:pBdr/>
        <w:spacing/>
        <w:ind/>
      </w:pPr>
      <w:tblPr>
        <w:tblBorders/>
      </w:tblPr>
      <w:tcPr>
        <w:shd w:val="clear" w:color="f79646" w:fill="f79646" w:themeFill="accent6"/>
        <w:tcBorders/>
      </w:tcPr>
    </w:tblStylePr>
    <w:tblStylePr w:type="firstRow">
      <w:rPr>
        <w:sz w:val="22"/>
      </w:rPr>
      <w:pPr>
        <w:pBdr/>
        <w:spacing/>
        <w:ind/>
      </w:pPr>
      <w:tblPr>
        <w:tblBorders/>
      </w:tblPr>
      <w:tcPr>
        <w:shd w:val="clear" w:color="f79646" w:fill="f79646" w:themeFill="accent6"/>
        <w:tcBorders/>
      </w:tcPr>
    </w:tblStylePr>
    <w:tblStylePr w:type="lastCol">
      <w:rPr>
        <w:sz w:val="22"/>
      </w:rPr>
      <w:pPr>
        <w:pBdr/>
        <w:spacing/>
        <w:ind/>
      </w:pPr>
      <w:tblPr>
        <w:tblBorders/>
      </w:tblPr>
      <w:tcPr>
        <w:shd w:val="clear" w:color="f79646" w:fill="f79646" w:themeFill="accent6"/>
        <w:tcBorders/>
      </w:tcPr>
    </w:tblStylePr>
    <w:tblStylePr w:type="lastRow">
      <w:rPr>
        <w:sz w:val="22"/>
      </w:rPr>
      <w:pPr>
        <w:pBdr/>
        <w:spacing/>
        <w:ind/>
      </w:pPr>
      <w:tblPr>
        <w:tblBorders/>
      </w:tblPr>
      <w:tcPr>
        <w:shd w:val="clear" w:color="f7964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5" w:customStyle="1">
    <w:name w:val="Bordered &amp; Lined - Accent"/>
    <w:basedOn w:val="892"/>
    <w:uiPriority w:val="99"/>
    <w:pPr>
      <w:pBdr/>
      <w:spacing/>
      <w:ind/>
    </w:pPr>
    <w:tblPr>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2f2f2" w:fill="f2f2f2" w:themeFill="text1" w:themeFillTint="0D"/>
        <w:tcBorders/>
      </w:tcPr>
    </w:tblStylePr>
    <w:tblStylePr w:type="band2Vert">
      <w:rPr>
        <w:sz w:val="22"/>
      </w:rPr>
      <w:pPr>
        <w:pBdr/>
        <w:spacing/>
        <w:ind/>
      </w:pPr>
      <w:tblPr>
        <w:tblBorders/>
      </w:tblPr>
      <w:tcPr>
        <w:shd w:val="clear" w:color="f2f2f2" w:fill="f2f2f2" w:themeFill="text1" w:themeFillTint="0D"/>
        <w:tcBorders/>
      </w:tcPr>
    </w:tblStylePr>
    <w:tblStylePr w:type="firstCol">
      <w:rPr>
        <w:sz w:val="22"/>
      </w:rPr>
      <w:pPr>
        <w:pBdr/>
        <w:spacing/>
        <w:ind/>
      </w:pPr>
      <w:tblPr>
        <w:tblBorders/>
      </w:tblPr>
      <w:tcPr>
        <w:shd w:val="clear" w:color="7f7f7f" w:fill="7f7f7f" w:themeFill="text1" w:themeFillTint="80"/>
        <w:tcBorders/>
      </w:tcPr>
    </w:tblStylePr>
    <w:tblStylePr w:type="firstRow">
      <w:rPr>
        <w:sz w:val="22"/>
      </w:rPr>
      <w:pPr>
        <w:pBdr/>
        <w:spacing/>
        <w:ind/>
      </w:pPr>
      <w:tblPr>
        <w:tblBorders/>
      </w:tblPr>
      <w:tcPr>
        <w:shd w:val="clear" w:color="7f7f7f" w:fill="7f7f7f" w:themeFill="text1" w:themeFillTint="80"/>
        <w:tcBorders/>
      </w:tcPr>
    </w:tblStylePr>
    <w:tblStylePr w:type="lastCol">
      <w:rPr>
        <w:sz w:val="22"/>
      </w:rPr>
      <w:pPr>
        <w:pBdr/>
        <w:spacing/>
        <w:ind/>
      </w:pPr>
      <w:tblPr>
        <w:tblBorders/>
      </w:tblPr>
      <w:tcPr>
        <w:shd w:val="clear" w:color="7f7f7f" w:fill="7f7f7f" w:themeFill="text1" w:themeFillTint="80"/>
        <w:tcBorders/>
      </w:tcPr>
    </w:tblStylePr>
    <w:tblStylePr w:type="lastRow">
      <w:rPr>
        <w:sz w:val="22"/>
      </w:rPr>
      <w:pPr>
        <w:pBdr/>
        <w:spacing/>
        <w:ind/>
      </w:pPr>
      <w:tblPr>
        <w:tblBorders/>
      </w:tblPr>
      <w:tcPr>
        <w:shd w:val="clear" w:color="7f7f7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6" w:customStyle="1">
    <w:name w:val="Bordered &amp; Lined - Accent 1"/>
    <w:basedOn w:val="892"/>
    <w:uiPriority w:val="99"/>
    <w:pPr>
      <w:pBdr/>
      <w:spacing/>
      <w:ind/>
    </w:pPr>
    <w:tblPr>
      <w:tblBorders>
        <w:top w:val="single" w:color="4f81bd" w:themeColor="accent1" w:sz="4" w:space="0"/>
        <w:left w:val="single" w:color="4f81bd" w:themeColor="accent1" w:sz="4" w:space="0"/>
        <w:bottom w:val="single" w:color="4f81bd" w:themeColor="accent1" w:sz="4" w:space="0"/>
        <w:right w:val="single" w:color="4f81bd" w:themeColor="accent1" w:sz="4" w:space="0"/>
        <w:insideH w:val="single" w:color="4f81bd" w:themeColor="accent1" w:sz="4" w:space="0"/>
        <w:insideV w:val="single" w:color="4f81bd" w:themeColor="accent1"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c7d7ea" w:fill="c7d7ea" w:themeFill="accent1" w:themeFillTint="50"/>
        <w:tcBorders/>
      </w:tcPr>
    </w:tblStylePr>
    <w:tblStylePr w:type="band2Vert">
      <w:rPr>
        <w:sz w:val="22"/>
      </w:rPr>
      <w:pPr>
        <w:pBdr/>
        <w:spacing/>
        <w:ind/>
      </w:pPr>
      <w:tblPr>
        <w:tblBorders/>
      </w:tblPr>
      <w:tcPr>
        <w:shd w:val="clear" w:color="c7d7ea" w:fill="c7d7ea" w:themeFill="accent1" w:themeFillTint="50"/>
        <w:tcBorders/>
      </w:tcPr>
    </w:tblStylePr>
    <w:tblStylePr w:type="firstCol">
      <w:rPr>
        <w:sz w:val="22"/>
      </w:rPr>
      <w:pPr>
        <w:pBdr/>
        <w:spacing/>
        <w:ind/>
      </w:pPr>
      <w:tblPr>
        <w:tblBorders/>
      </w:tblPr>
      <w:tcPr>
        <w:shd w:val="clear" w:color="5d8ac2" w:fill="5d8ac2" w:themeFill="accent1" w:themeFillTint="EA"/>
        <w:tcBorders/>
      </w:tcPr>
    </w:tblStylePr>
    <w:tblStylePr w:type="firstRow">
      <w:rPr>
        <w:sz w:val="22"/>
      </w:rPr>
      <w:pPr>
        <w:pBdr/>
        <w:spacing/>
        <w:ind/>
      </w:pPr>
      <w:tblPr>
        <w:tblBorders/>
      </w:tblPr>
      <w:tcPr>
        <w:shd w:val="clear" w:color="5d8ac2" w:fill="5d8ac2" w:themeFill="accent1" w:themeFillTint="EA"/>
        <w:tcBorders/>
      </w:tcPr>
    </w:tblStylePr>
    <w:tblStylePr w:type="lastCol">
      <w:rPr>
        <w:sz w:val="22"/>
      </w:rPr>
      <w:pPr>
        <w:pBdr/>
        <w:spacing/>
        <w:ind/>
      </w:pPr>
      <w:tblPr>
        <w:tblBorders/>
      </w:tblPr>
      <w:tcPr>
        <w:shd w:val="clear" w:color="5d8ac2" w:fill="5d8ac2" w:themeFill="accent1" w:themeFillTint="EA"/>
        <w:tcBorders/>
      </w:tcPr>
    </w:tblStylePr>
    <w:tblStylePr w:type="lastRow">
      <w:rPr>
        <w:sz w:val="22"/>
      </w:rPr>
      <w:pPr>
        <w:pBdr/>
        <w:spacing/>
        <w:ind/>
      </w:pPr>
      <w:tblPr>
        <w:tblBorders/>
      </w:tblPr>
      <w:tcPr>
        <w:shd w:val="clear" w:color="5d8ac2" w:fill="5d8a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7" w:customStyle="1">
    <w:name w:val="Bordered &amp; Lined - Accent 2"/>
    <w:basedOn w:val="892"/>
    <w:uiPriority w:val="99"/>
    <w:pPr>
      <w:pBdr/>
      <w:spacing/>
      <w:ind/>
    </w:pPr>
    <w:tblPr>
      <w:tblBorders>
        <w:top w:val="single" w:color="c0504d" w:themeColor="accent2" w:sz="4" w:space="0"/>
        <w:left w:val="single" w:color="c0504d" w:themeColor="accent2" w:sz="4" w:space="0"/>
        <w:bottom w:val="single" w:color="c0504d" w:themeColor="accent2" w:sz="4" w:space="0"/>
        <w:right w:val="single" w:color="c0504d" w:themeColor="accent2" w:sz="4" w:space="0"/>
        <w:insideH w:val="single" w:color="c0504d" w:themeColor="accent2" w:sz="4" w:space="0"/>
        <w:insideV w:val="single" w:color="c0504d" w:themeColor="accent2"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2dcdc" w:fill="f2dcdc" w:themeFill="accent2" w:themeFillTint="32"/>
        <w:tcBorders/>
      </w:tcPr>
    </w:tblStylePr>
    <w:tblStylePr w:type="band2Vert">
      <w:rPr>
        <w:sz w:val="22"/>
      </w:rPr>
      <w:pPr>
        <w:pBdr/>
        <w:spacing/>
        <w:ind/>
      </w:pPr>
      <w:tblPr>
        <w:tblBorders/>
      </w:tblPr>
      <w:tcPr>
        <w:shd w:val="clear" w:color="f2dcdc" w:fill="f2dcdc" w:themeFill="accent2" w:themeFillTint="32"/>
        <w:tcBorders/>
      </w:tcPr>
    </w:tblStylePr>
    <w:tblStylePr w:type="firstCol">
      <w:rPr>
        <w:sz w:val="22"/>
      </w:rPr>
      <w:pPr>
        <w:pBdr/>
        <w:spacing/>
        <w:ind/>
      </w:pPr>
      <w:tblPr>
        <w:tblBorders/>
      </w:tblPr>
      <w:tcPr>
        <w:shd w:val="clear" w:color="d99695" w:fill="d99695" w:themeFill="accent2" w:themeFillTint="97"/>
        <w:tcBorders/>
      </w:tcPr>
    </w:tblStylePr>
    <w:tblStylePr w:type="firstRow">
      <w:rPr>
        <w:sz w:val="22"/>
      </w:rPr>
      <w:pPr>
        <w:pBdr/>
        <w:spacing/>
        <w:ind/>
      </w:pPr>
      <w:tblPr>
        <w:tblBorders/>
      </w:tblPr>
      <w:tcPr>
        <w:shd w:val="clear" w:color="d99695" w:fill="d99695" w:themeFill="accent2" w:themeFillTint="97"/>
        <w:tcBorders/>
      </w:tcPr>
    </w:tblStylePr>
    <w:tblStylePr w:type="lastCol">
      <w:rPr>
        <w:sz w:val="22"/>
      </w:rPr>
      <w:pPr>
        <w:pBdr/>
        <w:spacing/>
        <w:ind/>
      </w:pPr>
      <w:tblPr>
        <w:tblBorders/>
      </w:tblPr>
      <w:tcPr>
        <w:shd w:val="clear" w:color="d99695" w:fill="d99695" w:themeFill="accent2" w:themeFillTint="97"/>
        <w:tcBorders/>
      </w:tcPr>
    </w:tblStylePr>
    <w:tblStylePr w:type="lastRow">
      <w:rPr>
        <w:sz w:val="22"/>
      </w:rPr>
      <w:pPr>
        <w:pBdr/>
        <w:spacing/>
        <w:ind/>
      </w:pPr>
      <w:tblPr>
        <w:tblBorders/>
      </w:tblPr>
      <w:tcPr>
        <w:shd w:val="clear" w:color="d99695" w:fill="d9969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8" w:customStyle="1">
    <w:name w:val="Bordered &amp; Lined - Accent 3"/>
    <w:basedOn w:val="892"/>
    <w:uiPriority w:val="99"/>
    <w:pPr>
      <w:pBdr/>
      <w:spacing/>
      <w:ind/>
    </w:pPr>
    <w:tblPr>
      <w:tblBorders>
        <w:top w:val="single" w:color="9bbb59" w:themeColor="accent3" w:sz="4" w:space="0"/>
        <w:left w:val="single" w:color="9bbb59" w:themeColor="accent3" w:sz="4" w:space="0"/>
        <w:bottom w:val="single" w:color="9bbb59" w:themeColor="accent3" w:sz="4" w:space="0"/>
        <w:right w:val="single" w:color="9bbb59" w:themeColor="accent3" w:sz="4" w:space="0"/>
        <w:insideH w:val="single" w:color="9bbb59" w:themeColor="accent3" w:sz="4" w:space="0"/>
        <w:insideV w:val="single" w:color="9bbb59" w:themeColor="accent3"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eaf1dc" w:fill="eaf1dc" w:themeFill="accent3" w:themeFillTint="34"/>
        <w:tcBorders/>
      </w:tcPr>
    </w:tblStylePr>
    <w:tblStylePr w:type="band2Vert">
      <w:rPr>
        <w:sz w:val="22"/>
      </w:rPr>
      <w:pPr>
        <w:pBdr/>
        <w:spacing/>
        <w:ind/>
      </w:pPr>
      <w:tblPr>
        <w:tblBorders/>
      </w:tblPr>
      <w:tcPr>
        <w:shd w:val="clear" w:color="eaf1dc" w:fill="eaf1dc" w:themeFill="accent3" w:themeFillTint="34"/>
        <w:tcBorders/>
      </w:tcPr>
    </w:tblStylePr>
    <w:tblStylePr w:type="firstCol">
      <w:rPr>
        <w:sz w:val="22"/>
      </w:rPr>
      <w:pPr>
        <w:pBdr/>
        <w:spacing/>
        <w:ind/>
      </w:pPr>
      <w:tblPr>
        <w:tblBorders/>
      </w:tblPr>
      <w:tcPr>
        <w:shd w:val="clear" w:color="9abb59" w:fill="9abb59" w:themeFill="accent3" w:themeFillTint="FE"/>
        <w:tcBorders/>
      </w:tcPr>
    </w:tblStylePr>
    <w:tblStylePr w:type="firstRow">
      <w:rPr>
        <w:sz w:val="22"/>
      </w:rPr>
      <w:pPr>
        <w:pBdr/>
        <w:spacing/>
        <w:ind/>
      </w:pPr>
      <w:tblPr>
        <w:tblBorders/>
      </w:tblPr>
      <w:tcPr>
        <w:shd w:val="clear" w:color="9abb59" w:fill="9abb59" w:themeFill="accent3" w:themeFillTint="FE"/>
        <w:tcBorders/>
      </w:tcPr>
    </w:tblStylePr>
    <w:tblStylePr w:type="lastCol">
      <w:rPr>
        <w:sz w:val="22"/>
      </w:rPr>
      <w:pPr>
        <w:pBdr/>
        <w:spacing/>
        <w:ind/>
      </w:pPr>
      <w:tblPr>
        <w:tblBorders/>
      </w:tblPr>
      <w:tcPr>
        <w:shd w:val="clear" w:color="9abb59" w:fill="9abb59" w:themeFill="accent3" w:themeFillTint="FE"/>
        <w:tcBorders/>
      </w:tcPr>
    </w:tblStylePr>
    <w:tblStylePr w:type="lastRow">
      <w:rPr>
        <w:sz w:val="22"/>
      </w:rPr>
      <w:pPr>
        <w:pBdr/>
        <w:spacing/>
        <w:ind/>
      </w:pPr>
      <w:tblPr>
        <w:tblBorders/>
      </w:tblPr>
      <w:tcPr>
        <w:shd w:val="clear" w:color="9abb59" w:fill="9abb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9" w:customStyle="1">
    <w:name w:val="Bordered &amp; Lined - Accent 4"/>
    <w:basedOn w:val="892"/>
    <w:uiPriority w:val="99"/>
    <w:pPr>
      <w:pBdr/>
      <w:spacing/>
      <w:ind/>
    </w:pPr>
    <w:tblPr>
      <w:tblBorders>
        <w:top w:val="single" w:color="8064a2" w:themeColor="accent4" w:sz="4" w:space="0"/>
        <w:left w:val="single" w:color="8064a2" w:themeColor="accent4" w:sz="4" w:space="0"/>
        <w:bottom w:val="single" w:color="8064a2" w:themeColor="accent4" w:sz="4" w:space="0"/>
        <w:right w:val="single" w:color="8064a2" w:themeColor="accent4" w:sz="4" w:space="0"/>
        <w:insideH w:val="single" w:color="8064a2" w:themeColor="accent4" w:sz="4" w:space="0"/>
        <w:insideV w:val="single" w:color="8064a2" w:themeColor="accent4"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e5dfec" w:fill="e5dfec" w:themeFill="accent4" w:themeFillTint="34"/>
        <w:tcBorders/>
      </w:tcPr>
    </w:tblStylePr>
    <w:tblStylePr w:type="band2Vert">
      <w:rPr>
        <w:sz w:val="22"/>
      </w:rPr>
      <w:pPr>
        <w:pBdr/>
        <w:spacing/>
        <w:ind/>
      </w:pPr>
      <w:tblPr>
        <w:tblBorders/>
      </w:tblPr>
      <w:tcPr>
        <w:shd w:val="clear" w:color="e5dfec" w:fill="e5dfec" w:themeFill="accent4" w:themeFillTint="34"/>
        <w:tcBorders/>
      </w:tcPr>
    </w:tblStylePr>
    <w:tblStylePr w:type="firstCol">
      <w:rPr>
        <w:sz w:val="22"/>
      </w:rPr>
      <w:pPr>
        <w:pBdr/>
        <w:spacing/>
        <w:ind/>
      </w:pPr>
      <w:tblPr>
        <w:tblBorders/>
      </w:tblPr>
      <w:tcPr>
        <w:shd w:val="clear" w:color="b2a1c6" w:fill="b2a1c6" w:themeFill="accent4" w:themeFillTint="9A"/>
        <w:tcBorders/>
      </w:tcPr>
    </w:tblStylePr>
    <w:tblStylePr w:type="firstRow">
      <w:rPr>
        <w:sz w:val="22"/>
      </w:rPr>
      <w:pPr>
        <w:pBdr/>
        <w:spacing/>
        <w:ind/>
      </w:pPr>
      <w:tblPr>
        <w:tblBorders/>
      </w:tblPr>
      <w:tcPr>
        <w:shd w:val="clear" w:color="b2a1c6" w:fill="b2a1c6" w:themeFill="accent4" w:themeFillTint="9A"/>
        <w:tcBorders/>
      </w:tcPr>
    </w:tblStylePr>
    <w:tblStylePr w:type="lastCol">
      <w:rPr>
        <w:sz w:val="22"/>
      </w:rPr>
      <w:pPr>
        <w:pBdr/>
        <w:spacing/>
        <w:ind/>
      </w:pPr>
      <w:tblPr>
        <w:tblBorders/>
      </w:tblPr>
      <w:tcPr>
        <w:shd w:val="clear" w:color="b2a1c6" w:fill="b2a1c6" w:themeFill="accent4" w:themeFillTint="9A"/>
        <w:tcBorders/>
      </w:tcPr>
    </w:tblStylePr>
    <w:tblStylePr w:type="lastRow">
      <w:rPr>
        <w:sz w:val="22"/>
      </w:rPr>
      <w:pPr>
        <w:pBdr/>
        <w:spacing/>
        <w:ind/>
      </w:pPr>
      <w:tblPr>
        <w:tblBorders/>
      </w:tblPr>
      <w:tcPr>
        <w:shd w:val="clear" w:color="b2a1c6"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0" w:customStyle="1">
    <w:name w:val="Bordered &amp; Lined - Accent 5"/>
    <w:basedOn w:val="892"/>
    <w:uiPriority w:val="99"/>
    <w:pPr>
      <w:pBdr/>
      <w:spacing/>
      <w:ind/>
    </w:pPr>
    <w:tblPr>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daeef3" w:fill="daeef3" w:themeFill="accent5" w:themeFillTint="34"/>
        <w:tcBorders/>
      </w:tcPr>
    </w:tblStylePr>
    <w:tblStylePr w:type="band2Vert">
      <w:rPr>
        <w:sz w:val="22"/>
      </w:rPr>
      <w:pPr>
        <w:pBdr/>
        <w:spacing/>
        <w:ind/>
      </w:pPr>
      <w:tblPr>
        <w:tblBorders/>
      </w:tblPr>
      <w:tcPr>
        <w:shd w:val="clear" w:color="daeef3" w:fill="daeef3" w:themeFill="accent5" w:themeFillTint="34"/>
        <w:tcBorders/>
      </w:tcPr>
    </w:tblStylePr>
    <w:tblStylePr w:type="firstCol">
      <w:rPr>
        <w:sz w:val="22"/>
      </w:rPr>
      <w:pPr>
        <w:pBdr/>
        <w:spacing/>
        <w:ind/>
      </w:pPr>
      <w:tblPr>
        <w:tblBorders/>
      </w:tblPr>
      <w:tcPr>
        <w:shd w:val="clear" w:color="4bacc6" w:fill="4bacc6" w:themeFill="accent5"/>
        <w:tcBorders/>
      </w:tcPr>
    </w:tblStylePr>
    <w:tblStylePr w:type="firstRow">
      <w:rPr>
        <w:sz w:val="22"/>
      </w:rPr>
      <w:pPr>
        <w:pBdr/>
        <w:spacing/>
        <w:ind/>
      </w:pPr>
      <w:tblPr>
        <w:tblBorders/>
      </w:tblPr>
      <w:tcPr>
        <w:shd w:val="clear" w:color="4bacc6" w:fill="4bacc6" w:themeFill="accent5"/>
        <w:tcBorders/>
      </w:tcPr>
    </w:tblStylePr>
    <w:tblStylePr w:type="lastCol">
      <w:rPr>
        <w:sz w:val="22"/>
      </w:rPr>
      <w:pPr>
        <w:pBdr/>
        <w:spacing/>
        <w:ind/>
      </w:pPr>
      <w:tblPr>
        <w:tblBorders/>
      </w:tblPr>
      <w:tcPr>
        <w:shd w:val="clear" w:color="4bacc6" w:fill="4bacc6" w:themeFill="accent5"/>
        <w:tcBorders/>
      </w:tcPr>
    </w:tblStylePr>
    <w:tblStylePr w:type="lastRow">
      <w:rPr>
        <w:sz w:val="22"/>
      </w:rPr>
      <w:pPr>
        <w:pBdr/>
        <w:spacing/>
        <w:ind/>
      </w:pPr>
      <w:tblPr>
        <w:tblBorders/>
      </w:tblPr>
      <w:tcPr>
        <w:shd w:val="clear" w:color="4bacc6"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1" w:customStyle="1">
    <w:name w:val="Bordered &amp; Lined - Accent 6"/>
    <w:basedOn w:val="892"/>
    <w:uiPriority w:val="99"/>
    <w:pPr>
      <w:pBdr/>
      <w:spacing/>
      <w:ind/>
    </w:pPr>
    <w:tblPr>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de9d8" w:fill="fde9d8" w:themeFill="accent6" w:themeFillTint="34"/>
        <w:tcBorders/>
      </w:tcPr>
    </w:tblStylePr>
    <w:tblStylePr w:type="band2Vert">
      <w:rPr>
        <w:sz w:val="22"/>
      </w:rPr>
      <w:pPr>
        <w:pBdr/>
        <w:spacing/>
        <w:ind/>
      </w:pPr>
      <w:tblPr>
        <w:tblBorders/>
      </w:tblPr>
      <w:tcPr>
        <w:shd w:val="clear" w:color="fde9d8" w:fill="fde9d8" w:themeFill="accent6" w:themeFillTint="34"/>
        <w:tcBorders/>
      </w:tcPr>
    </w:tblStylePr>
    <w:tblStylePr w:type="firstCol">
      <w:rPr>
        <w:sz w:val="22"/>
      </w:rPr>
      <w:pPr>
        <w:pBdr/>
        <w:spacing/>
        <w:ind/>
      </w:pPr>
      <w:tblPr>
        <w:tblBorders/>
      </w:tblPr>
      <w:tcPr>
        <w:shd w:val="clear" w:color="f79646" w:fill="f79646" w:themeFill="accent6"/>
        <w:tcBorders/>
      </w:tcPr>
    </w:tblStylePr>
    <w:tblStylePr w:type="firstRow">
      <w:rPr>
        <w:sz w:val="22"/>
      </w:rPr>
      <w:pPr>
        <w:pBdr/>
        <w:spacing/>
        <w:ind/>
      </w:pPr>
      <w:tblPr>
        <w:tblBorders/>
      </w:tblPr>
      <w:tcPr>
        <w:shd w:val="clear" w:color="f79646" w:fill="f79646" w:themeFill="accent6"/>
        <w:tcBorders/>
      </w:tcPr>
    </w:tblStylePr>
    <w:tblStylePr w:type="lastCol">
      <w:rPr>
        <w:sz w:val="22"/>
      </w:rPr>
      <w:pPr>
        <w:pBdr/>
        <w:spacing/>
        <w:ind/>
      </w:pPr>
      <w:tblPr>
        <w:tblBorders/>
      </w:tblPr>
      <w:tcPr>
        <w:shd w:val="clear" w:color="f79646" w:fill="f79646" w:themeFill="accent6"/>
        <w:tcBorders/>
      </w:tcPr>
    </w:tblStylePr>
    <w:tblStylePr w:type="lastRow">
      <w:rPr>
        <w:sz w:val="22"/>
      </w:rPr>
      <w:pPr>
        <w:pBdr/>
        <w:spacing/>
        <w:ind/>
      </w:pPr>
      <w:tblPr>
        <w:tblBorders/>
      </w:tblPr>
      <w:tcPr>
        <w:shd w:val="clear" w:color="f7964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2" w:customStyle="1">
    <w:name w:val="Bordered"/>
    <w:basedOn w:val="892"/>
    <w:uiPriority w:val="99"/>
    <w:pPr>
      <w:pBdr/>
      <w:spacing/>
      <w:ind/>
    </w:pPr>
    <w:tblPr>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text1" w:sz="12" w:space="0"/>
        </w:tcBorders>
      </w:tcPr>
    </w:tblStylePr>
    <w:tblStylePr w:type="lastCol">
      <w:rPr>
        <w:sz w:val="22"/>
      </w:rPr>
      <w:pPr>
        <w:pBdr/>
        <w:spacing/>
        <w:ind/>
      </w:pPr>
      <w:tblPr>
        <w:tblBorders/>
      </w:tblPr>
      <w:tcPr>
        <w:tcBorders>
          <w:left w:val="single" w:color="000000" w:themeColor="text1" w:sz="12" w:space="0"/>
        </w:tcBorders>
      </w:tcPr>
    </w:tblStylePr>
    <w:tblStylePr w:type="lastRow">
      <w:rPr>
        <w:sz w:val="22"/>
      </w:rPr>
      <w:pPr>
        <w:pBdr/>
        <w:spacing/>
        <w:ind/>
      </w:pPr>
      <w:tblPr>
        <w:tblBorders/>
      </w:tblPr>
      <w:tcPr>
        <w:tcBorders>
          <w:top w:val="single" w:color="000000" w:themeColor="tex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3" w:customStyle="1">
    <w:name w:val="Bordered - Accent 1"/>
    <w:basedOn w:val="892"/>
    <w:uiPriority w:val="99"/>
    <w:pPr>
      <w:pBdr/>
      <w:spacing/>
      <w:ind/>
    </w:pPr>
    <w:tblPr>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cPr>
      <w:tcBorders/>
    </w:tcPr>
    <w:tblStylePr w:type="band1Horz">
      <w:rPr>
        <w:sz w:val="22"/>
      </w:rPr>
      <w:pPr>
        <w:pBdr/>
        <w:spacing/>
        <w:ind/>
      </w:pPr>
      <w:tblPr>
        <w:tblBorders/>
      </w:tblPr>
      <w:tcPr>
        <w:tcBorders>
          <w:top w:val="single" w:color="4f81bd" w:themeColor="accent1" w:sz="4" w:space="0"/>
          <w:left w:val="single" w:color="4f81bd" w:themeColor="accent1" w:sz="4" w:space="0"/>
          <w:bottom w:val="single" w:color="4f81bd" w:themeColor="accent1" w:sz="4" w:space="0"/>
          <w:right w:val="single" w:color="4f81bd"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4f81bd" w:themeColor="accent1" w:sz="12" w:space="0"/>
        </w:tcBorders>
      </w:tcPr>
    </w:tblStylePr>
    <w:tblStylePr w:type="lastCol">
      <w:rPr>
        <w:sz w:val="22"/>
      </w:rPr>
      <w:pPr>
        <w:pBdr/>
        <w:spacing/>
        <w:ind/>
      </w:pPr>
      <w:tblPr>
        <w:tblBorders/>
      </w:tblPr>
      <w:tcPr>
        <w:tcBorders>
          <w:left w:val="single" w:color="4f81bd" w:themeColor="accent1" w:sz="12" w:space="0"/>
        </w:tcBorders>
      </w:tcPr>
    </w:tblStylePr>
    <w:tblStylePr w:type="lastRow">
      <w:rPr>
        <w:sz w:val="22"/>
      </w:rPr>
      <w:pPr>
        <w:pBdr/>
        <w:spacing/>
        <w:ind/>
      </w:pPr>
      <w:tblPr>
        <w:tblBorders/>
      </w:tblPr>
      <w:tcPr>
        <w:tcBorders>
          <w:top w:val="single" w:color="4f81bd"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4" w:customStyle="1">
    <w:name w:val="Bordered - Accent 2"/>
    <w:basedOn w:val="892"/>
    <w:uiPriority w:val="99"/>
    <w:pPr>
      <w:pBdr/>
      <w:spacing/>
      <w:ind/>
    </w:pPr>
    <w:tblPr>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cPr>
      <w:tcBorders/>
    </w:tcPr>
    <w:tblStylePr w:type="band1Horz">
      <w:rPr>
        <w:sz w:val="22"/>
      </w:rPr>
      <w:pPr>
        <w:pBdr/>
        <w:spacing/>
        <w:ind/>
      </w:pPr>
      <w:tblPr>
        <w:tblBorders/>
      </w:tblPr>
      <w:tcPr>
        <w:tcBorders>
          <w:top w:val="single" w:color="c0504d" w:themeColor="accent2" w:sz="4" w:space="0"/>
          <w:left w:val="single" w:color="c0504d" w:themeColor="accent2" w:sz="4" w:space="0"/>
          <w:bottom w:val="single" w:color="c0504d" w:themeColor="accent2" w:sz="4" w:space="0"/>
          <w:right w:val="single" w:color="c0504d"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c0504d" w:themeColor="accent2" w:sz="12" w:space="0"/>
        </w:tcBorders>
      </w:tcPr>
    </w:tblStylePr>
    <w:tblStylePr w:type="lastCol">
      <w:rPr>
        <w:sz w:val="22"/>
      </w:rPr>
      <w:pPr>
        <w:pBdr/>
        <w:spacing/>
        <w:ind/>
      </w:pPr>
      <w:tblPr>
        <w:tblBorders/>
      </w:tblPr>
      <w:tcPr>
        <w:tcBorders>
          <w:left w:val="single" w:color="c0504d" w:themeColor="accent2" w:sz="12" w:space="0"/>
        </w:tcBorders>
      </w:tcPr>
    </w:tblStylePr>
    <w:tblStylePr w:type="lastRow">
      <w:rPr>
        <w:sz w:val="22"/>
      </w:rPr>
      <w:pPr>
        <w:pBdr/>
        <w:spacing/>
        <w:ind/>
      </w:pPr>
      <w:tblPr>
        <w:tblBorders/>
      </w:tblPr>
      <w:tcPr>
        <w:tcBorders>
          <w:top w:val="single" w:color="c0504d" w:themeColor="accent2"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5" w:customStyle="1">
    <w:name w:val="Bordered - Accent 3"/>
    <w:basedOn w:val="892"/>
    <w:uiPriority w:val="99"/>
    <w:pPr>
      <w:pBdr/>
      <w:spacing/>
      <w:ind/>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cPr>
      <w:tcBorders/>
    </w:tcPr>
    <w:tblStylePr w:type="band1Horz">
      <w:rPr>
        <w:sz w:val="22"/>
      </w:rPr>
      <w:pPr>
        <w:pBdr/>
        <w:spacing/>
        <w:ind/>
      </w:pPr>
      <w:tblPr>
        <w:tblBorders/>
      </w:tblPr>
      <w:tcPr>
        <w:tcBorders>
          <w:top w:val="single" w:color="9bbb59" w:themeColor="accent3" w:sz="4" w:space="0"/>
          <w:left w:val="single" w:color="9bbb59" w:themeColor="accent3" w:sz="4" w:space="0"/>
          <w:bottom w:val="single" w:color="9bbb59" w:themeColor="accent3" w:sz="4" w:space="0"/>
          <w:right w:val="single" w:color="9bbb59"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9bbb59" w:themeColor="accent3" w:sz="12" w:space="0"/>
        </w:tcBorders>
      </w:tcPr>
    </w:tblStylePr>
    <w:tblStylePr w:type="lastCol">
      <w:rPr>
        <w:sz w:val="22"/>
      </w:rPr>
      <w:pPr>
        <w:pBdr/>
        <w:spacing/>
        <w:ind/>
      </w:pPr>
      <w:tblPr>
        <w:tblBorders/>
      </w:tblPr>
      <w:tcPr>
        <w:tcBorders>
          <w:left w:val="single" w:color="9bbb59" w:themeColor="accent3" w:sz="12" w:space="0"/>
        </w:tcBorders>
      </w:tcPr>
    </w:tblStylePr>
    <w:tblStylePr w:type="lastRow">
      <w:rPr>
        <w:sz w:val="22"/>
      </w:rPr>
      <w:pPr>
        <w:pBdr/>
        <w:spacing/>
        <w:ind/>
      </w:pPr>
      <w:tblPr>
        <w:tblBorders/>
      </w:tblPr>
      <w:tcPr>
        <w:tcBorders>
          <w:top w:val="single" w:color="9bbb59" w:themeColor="accent3"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6" w:customStyle="1">
    <w:name w:val="Bordered - Accent 4"/>
    <w:basedOn w:val="892"/>
    <w:uiPriority w:val="99"/>
    <w:pPr>
      <w:pBdr/>
      <w:spacing/>
      <w:ind/>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cPr>
      <w:tcBorders/>
    </w:tcPr>
    <w:tblStylePr w:type="band1Horz">
      <w:rPr>
        <w:sz w:val="22"/>
      </w:rPr>
      <w:pPr>
        <w:pBdr/>
        <w:spacing/>
        <w:ind/>
      </w:pPr>
      <w:tblPr>
        <w:tblBorders/>
      </w:tblPr>
      <w:tcPr>
        <w:tcBorders>
          <w:top w:val="single" w:color="8064a2" w:themeColor="accent4" w:sz="4" w:space="0"/>
          <w:left w:val="single" w:color="8064a2" w:themeColor="accent4" w:sz="4" w:space="0"/>
          <w:bottom w:val="single" w:color="8064a2" w:themeColor="accent4" w:sz="4" w:space="0"/>
          <w:right w:val="single" w:color="8064a2"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8064a2" w:themeColor="accent4" w:sz="12" w:space="0"/>
        </w:tcBorders>
      </w:tcPr>
    </w:tblStylePr>
    <w:tblStylePr w:type="lastCol">
      <w:rPr>
        <w:sz w:val="22"/>
      </w:rPr>
      <w:pPr>
        <w:pBdr/>
        <w:spacing/>
        <w:ind/>
      </w:pPr>
      <w:tblPr>
        <w:tblBorders/>
      </w:tblPr>
      <w:tcPr>
        <w:tcBorders>
          <w:left w:val="single" w:color="8064a2" w:themeColor="accent4" w:sz="12" w:space="0"/>
        </w:tcBorders>
      </w:tcPr>
    </w:tblStylePr>
    <w:tblStylePr w:type="lastRow">
      <w:rPr>
        <w:sz w:val="22"/>
      </w:rPr>
      <w:pPr>
        <w:pBdr/>
        <w:spacing/>
        <w:ind/>
      </w:pPr>
      <w:tblPr>
        <w:tblBorders/>
      </w:tblPr>
      <w:tcPr>
        <w:tcBorders>
          <w:top w:val="single" w:color="8064a2" w:themeColor="accent4"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7" w:customStyle="1">
    <w:name w:val="Bordered - Accent 5"/>
    <w:basedOn w:val="892"/>
    <w:uiPriority w:val="99"/>
    <w:pPr>
      <w:pBdr/>
      <w:spacing/>
      <w:ind/>
    </w:pPr>
    <w:tblPr>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cPr>
      <w:tcBorders/>
    </w:tcPr>
    <w:tblStylePr w:type="band1Horz">
      <w:rPr>
        <w:sz w:val="22"/>
      </w:rPr>
      <w:pPr>
        <w:pBdr/>
        <w:spacing/>
        <w:ind/>
      </w:pPr>
      <w:tblPr>
        <w:tblBorders/>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4bacc6" w:themeColor="accent5" w:sz="12" w:space="0"/>
        </w:tcBorders>
      </w:tcPr>
    </w:tblStylePr>
    <w:tblStylePr w:type="lastCol">
      <w:rPr>
        <w:sz w:val="22"/>
      </w:rPr>
      <w:pPr>
        <w:pBdr/>
        <w:spacing/>
        <w:ind/>
      </w:pPr>
      <w:tblPr>
        <w:tblBorders/>
      </w:tblPr>
      <w:tcPr>
        <w:tcBorders>
          <w:left w:val="single" w:color="4bacc6" w:themeColor="accent5" w:sz="12" w:space="0"/>
        </w:tcBorders>
      </w:tcPr>
    </w:tblStylePr>
    <w:tblStylePr w:type="lastRow">
      <w:rPr>
        <w:sz w:val="22"/>
      </w:rPr>
      <w:pPr>
        <w:pBdr/>
        <w:spacing/>
        <w:ind/>
      </w:pPr>
      <w:tblPr>
        <w:tblBorders/>
      </w:tblPr>
      <w:tcPr>
        <w:tcBorders>
          <w:top w:val="single" w:color="4bacc6" w:themeColor="accent5"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8" w:customStyle="1">
    <w:name w:val="Bordered - Accent 6"/>
    <w:basedOn w:val="892"/>
    <w:uiPriority w:val="99"/>
    <w:pPr>
      <w:pBdr/>
      <w:spacing/>
      <w:ind/>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cPr>
      <w:tcBorders/>
    </w:tcPr>
    <w:tblStylePr w:type="band1Horz">
      <w:rPr>
        <w:sz w:val="22"/>
      </w:rPr>
      <w:pPr>
        <w:pBdr/>
        <w:spacing/>
        <w:ind/>
      </w:pPr>
      <w:tblPr>
        <w:tblBorders/>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f79646" w:themeColor="accent6" w:sz="12" w:space="0"/>
        </w:tcBorders>
      </w:tcPr>
    </w:tblStylePr>
    <w:tblStylePr w:type="lastCol">
      <w:rPr>
        <w:sz w:val="22"/>
      </w:rPr>
      <w:pPr>
        <w:pBdr/>
        <w:spacing/>
        <w:ind/>
      </w:pPr>
      <w:tblPr>
        <w:tblBorders/>
      </w:tblPr>
      <w:tcPr>
        <w:tcBorders>
          <w:left w:val="single" w:color="f79646" w:themeColor="accent6" w:sz="12" w:space="0"/>
        </w:tcBorders>
      </w:tcPr>
    </w:tblStylePr>
    <w:tblStylePr w:type="lastRow">
      <w:rPr>
        <w:sz w:val="22"/>
      </w:rPr>
      <w:pPr>
        <w:pBdr/>
        <w:spacing/>
        <w:ind/>
      </w:pPr>
      <w:tblPr>
        <w:tblBorders/>
      </w:tblPr>
      <w:tcPr>
        <w:tcBorders>
          <w:top w:val="single" w:color="f79646" w:themeColor="accent6"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89" w:customStyle="1">
    <w:name w:val="_Style 51"/>
    <w:basedOn w:val="1162"/>
    <w:qFormat/>
    <w:pPr>
      <w:pBdr/>
      <w:spacing/>
      <w:ind/>
    </w:pPr>
    <w:rPr>
      <w:lang w:eastAsia="pt-BR"/>
    </w:rPr>
    <w:tblPr>
      <w:tblCellMar>
        <w:left w:w="108" w:type="dxa"/>
        <w:right w:w="108"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0" w:customStyle="1">
    <w:name w:val="_Style 52"/>
    <w:basedOn w:val="1162"/>
    <w:qFormat/>
    <w:pPr>
      <w:pBdr/>
      <w:spacing/>
      <w:ind/>
    </w:pPr>
    <w:rPr>
      <w:lang w:eastAsia="pt-BR"/>
    </w:rPr>
    <w:tblPr>
      <w:tblCellMar>
        <w:left w:w="108" w:type="dxa"/>
        <w:right w:w="108"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1" w:customStyle="1">
    <w:name w:val="Estilo1"/>
    <w:basedOn w:val="892"/>
    <w:uiPriority w:val="99"/>
    <w:qFormat/>
    <w:pPr>
      <w:pBdr/>
      <w:spacing/>
      <w:ind/>
    </w:pPr>
    <w:rPr>
      <w:lang w:eastAsia="pt-BR"/>
    </w:rPr>
    <w:tblP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92" w:customStyle="1">
    <w:name w:val="Tabela de Grade Clara1"/>
    <w:basedOn w:val="892"/>
    <w:uiPriority w:val="40"/>
    <w:qFormat/>
    <w:pPr>
      <w:pBdr/>
      <w:spacing/>
      <w:ind/>
    </w:pPr>
    <w:rPr>
      <w:lang w:eastAsia="pt-BR"/>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293">
    <w:name w:val="Hyperlink"/>
    <w:uiPriority w:val="99"/>
    <w:pPr>
      <w:pBdr/>
      <w:spacing/>
      <w:ind/>
    </w:pPr>
    <w:rPr>
      <w:color w:val="0000ff"/>
      <w:u w:val="single"/>
    </w:rPr>
  </w:style>
  <w:style w:type="character" w:styleId="1294" w:customStyle="1">
    <w:name w:val="Sem Espaçamento Char"/>
    <w:link w:val="1084"/>
    <w:uiPriority w:val="1"/>
    <w:pPr>
      <w:pBdr/>
      <w:spacing/>
      <w:ind/>
    </w:pPr>
    <w:rPr>
      <w:rFonts w:ascii="Calibri" w:hAnsi="Calibri"/>
      <w:sz w:val="22"/>
      <w:szCs w:val="22"/>
    </w:rPr>
  </w:style>
  <w:style w:type="table" w:styleId="1295" w:customStyle="1">
    <w:name w:val="TableNormal"/>
    <w:pPr>
      <w:pBdr/>
      <w:spacing w:line="276" w:lineRule="auto"/>
      <w:ind/>
    </w:pPr>
    <w:rPr>
      <w:rFonts w:ascii="Arial" w:hAnsi="Arial" w:eastAsia="Arial" w:cs="Arial"/>
      <w:sz w:val="22"/>
      <w:szCs w:val="22"/>
      <w:lang w:eastAsia="pt-BR"/>
    </w:rPr>
    <w:tblPr>
      <w:tblCellMar>
        <w:left w:w="100" w:type="dxa"/>
        <w:top w:w="100" w:type="dxa"/>
        <w:right w:w="100" w:type="dxa"/>
        <w:bottom w:w="10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296" w:customStyle="1">
    <w:name w:val="WW8Num3z0"/>
    <w:pPr>
      <w:pBdr/>
      <w:spacing/>
      <w:ind/>
    </w:pPr>
    <w:rPr>
      <w:rFonts w:hint="default" w:cs="Times New Roman"/>
      <w:b/>
    </w:rPr>
  </w:style>
  <w:style w:type="character" w:styleId="1297" w:customStyle="1">
    <w:name w:val="WW8Num4z0"/>
    <w:pPr>
      <w:pBdr/>
      <w:spacing/>
      <w:ind/>
    </w:pPr>
    <w:rPr>
      <w:rFonts w:hint="default"/>
      <w:b/>
      <w:bCs/>
    </w:rPr>
  </w:style>
  <w:style w:type="character" w:styleId="1298" w:customStyle="1">
    <w:name w:val="WW8Num4z2"/>
    <w:pPr>
      <w:pBdr/>
      <w:spacing/>
      <w:ind/>
    </w:pPr>
    <w:rPr>
      <w:rFonts w:hint="default"/>
    </w:rPr>
  </w:style>
  <w:style w:type="character" w:styleId="1299" w:customStyle="1">
    <w:name w:val="WW8Num5z0"/>
    <w:pPr>
      <w:pBdr/>
      <w:spacing/>
      <w:ind/>
    </w:pPr>
    <w:rPr>
      <w:rFonts w:hint="default"/>
      <w:b/>
      <w:bCs/>
    </w:rPr>
  </w:style>
  <w:style w:type="character" w:styleId="1300" w:customStyle="1">
    <w:name w:val="WW8Num5z5"/>
    <w:pPr>
      <w:pBdr/>
      <w:spacing/>
      <w:ind/>
    </w:pPr>
    <w:rPr>
      <w:rFonts w:hint="default"/>
    </w:rPr>
  </w:style>
  <w:style w:type="character" w:styleId="1301" w:customStyle="1">
    <w:name w:val="WW8Num6z0"/>
    <w:pPr>
      <w:pBdr/>
      <w:spacing/>
      <w:ind/>
    </w:pPr>
    <w:rPr>
      <w:rFonts w:hint="default"/>
    </w:rPr>
  </w:style>
  <w:style w:type="character" w:styleId="1302" w:customStyle="1">
    <w:name w:val="WW8Num6z1"/>
    <w:pPr>
      <w:pBdr/>
      <w:spacing/>
      <w:ind/>
    </w:pPr>
    <w:rPr>
      <w:rFonts w:hint="default"/>
      <w:b/>
      <w:sz w:val="22"/>
    </w:rPr>
  </w:style>
  <w:style w:type="character" w:styleId="1303" w:customStyle="1">
    <w:name w:val="WW8Num7z0"/>
    <w:pPr>
      <w:pBdr/>
      <w:spacing/>
      <w:ind/>
    </w:pPr>
    <w:rPr>
      <w:rFonts w:hint="default"/>
      <w:b/>
    </w:rPr>
  </w:style>
  <w:style w:type="character" w:styleId="1304" w:customStyle="1">
    <w:name w:val="WW8Num7z1"/>
    <w:pPr>
      <w:pBdr/>
      <w:spacing/>
      <w:ind/>
    </w:pPr>
    <w:rPr>
      <w:rFonts w:hint="default" w:ascii="Arial" w:hAnsi="Arial" w:cs="Arial"/>
      <w:b w:val="0"/>
      <w:i w:val="0"/>
      <w:strike w:val="0"/>
      <w:color w:val="000000"/>
      <w:sz w:val="20"/>
      <w:szCs w:val="20"/>
      <w:u w:val="none"/>
    </w:rPr>
  </w:style>
  <w:style w:type="character" w:styleId="1305" w:customStyle="1">
    <w:name w:val="WW8Num7z2"/>
    <w:pPr>
      <w:pBdr/>
      <w:spacing/>
      <w:ind/>
    </w:pPr>
    <w:rPr>
      <w:rFonts w:hint="default" w:ascii="Arial" w:hAnsi="Arial" w:cs="Arial"/>
      <w:b w:val="0"/>
      <w:i w:val="0"/>
      <w:strike w:val="0"/>
      <w:color w:val="000000"/>
      <w:sz w:val="20"/>
      <w:szCs w:val="20"/>
    </w:rPr>
  </w:style>
  <w:style w:type="character" w:styleId="1306" w:customStyle="1">
    <w:name w:val="WW8Num7z3"/>
    <w:pPr>
      <w:pBdr/>
      <w:spacing/>
      <w:ind/>
    </w:pPr>
    <w:rPr>
      <w:rFonts w:hint="default"/>
    </w:rPr>
  </w:style>
  <w:style w:type="character" w:styleId="1307" w:customStyle="1">
    <w:name w:val="WW8Num8z0"/>
    <w:pPr>
      <w:pBdr/>
      <w:spacing/>
      <w:ind/>
    </w:pPr>
    <w:rPr>
      <w:rFonts w:hint="default" w:ascii="Wingdings" w:hAnsi="Wingdings" w:cs="Wingdings"/>
    </w:rPr>
  </w:style>
  <w:style w:type="character" w:styleId="1308" w:customStyle="1">
    <w:name w:val="WW8Num8z1"/>
    <w:pPr>
      <w:pBdr/>
      <w:spacing/>
      <w:ind/>
    </w:pPr>
    <w:rPr>
      <w:rFonts w:hint="default" w:ascii="Courier New" w:hAnsi="Courier New" w:cs="Courier New"/>
    </w:rPr>
  </w:style>
  <w:style w:type="character" w:styleId="1309" w:customStyle="1">
    <w:name w:val="WW8Num8z3"/>
    <w:pPr>
      <w:pBdr/>
      <w:spacing/>
      <w:ind/>
    </w:pPr>
    <w:rPr>
      <w:rFonts w:hint="default" w:ascii="Symbol" w:hAnsi="Symbol" w:cs="Symbol"/>
    </w:rPr>
  </w:style>
  <w:style w:type="character" w:styleId="1310" w:customStyle="1">
    <w:name w:val="WW8Num12z0"/>
    <w:pPr>
      <w:pBdr/>
      <w:spacing/>
      <w:ind/>
    </w:pPr>
    <w:rPr>
      <w:rFonts w:hint="default" w:ascii="Wingdings" w:hAnsi="Wingdings" w:cs="Wingdings"/>
    </w:rPr>
  </w:style>
  <w:style w:type="character" w:styleId="1311" w:customStyle="1">
    <w:name w:val="WW8Num12z1"/>
    <w:pPr>
      <w:pBdr/>
      <w:spacing/>
      <w:ind/>
    </w:pPr>
    <w:rPr>
      <w:rFonts w:hint="default" w:ascii="Courier New" w:hAnsi="Courier New" w:cs="Courier New"/>
    </w:rPr>
  </w:style>
  <w:style w:type="character" w:styleId="1312" w:customStyle="1">
    <w:name w:val="WW8Num12z3"/>
    <w:pPr>
      <w:pBdr/>
      <w:spacing/>
      <w:ind/>
    </w:pPr>
    <w:rPr>
      <w:rFonts w:hint="default" w:ascii="Symbol" w:hAnsi="Symbol" w:cs="Symbol"/>
    </w:rPr>
  </w:style>
  <w:style w:type="character" w:styleId="1313" w:customStyle="1">
    <w:name w:val="WW8Num14z0"/>
    <w:pPr>
      <w:pBdr/>
      <w:spacing/>
      <w:ind/>
    </w:pPr>
    <w:rPr>
      <w:rFonts w:hint="default" w:ascii="Symbol" w:hAnsi="Symbol" w:cs="Symbol"/>
      <w:sz w:val="20"/>
    </w:rPr>
  </w:style>
  <w:style w:type="character" w:styleId="1314" w:customStyle="1">
    <w:name w:val="WW8Num14z1"/>
    <w:pPr>
      <w:pBdr/>
      <w:spacing/>
      <w:ind/>
    </w:pPr>
    <w:rPr>
      <w:rFonts w:hint="default" w:ascii="Courier New" w:hAnsi="Courier New" w:cs="Courier New"/>
      <w:sz w:val="20"/>
    </w:rPr>
  </w:style>
  <w:style w:type="character" w:styleId="1315" w:customStyle="1">
    <w:name w:val="WW8Num14z2"/>
    <w:pPr>
      <w:pBdr/>
      <w:spacing/>
      <w:ind/>
    </w:pPr>
    <w:rPr>
      <w:rFonts w:hint="default" w:ascii="Wingdings" w:hAnsi="Wingdings" w:cs="Wingdings"/>
      <w:sz w:val="20"/>
    </w:rPr>
  </w:style>
  <w:style w:type="character" w:styleId="1316" w:customStyle="1">
    <w:name w:val="WW8Num15z0"/>
    <w:pPr>
      <w:pBdr/>
      <w:spacing/>
      <w:ind/>
    </w:pPr>
    <w:rPr>
      <w:rFonts w:hint="default" w:ascii="Symbol" w:hAnsi="Symbol" w:cs="Symbol"/>
      <w:sz w:val="20"/>
    </w:rPr>
  </w:style>
  <w:style w:type="character" w:styleId="1317" w:customStyle="1">
    <w:name w:val="WW8Num15z1"/>
    <w:pPr>
      <w:pBdr/>
      <w:spacing/>
      <w:ind/>
    </w:pPr>
    <w:rPr>
      <w:rFonts w:hint="default" w:ascii="Courier New" w:hAnsi="Courier New" w:cs="Courier New"/>
      <w:sz w:val="20"/>
    </w:rPr>
  </w:style>
  <w:style w:type="character" w:styleId="1318" w:customStyle="1">
    <w:name w:val="WW8Num15z2"/>
    <w:pPr>
      <w:pBdr/>
      <w:spacing/>
      <w:ind/>
    </w:pPr>
    <w:rPr>
      <w:rFonts w:hint="default" w:ascii="Wingdings" w:hAnsi="Wingdings" w:cs="Wingdings"/>
      <w:sz w:val="20"/>
    </w:rPr>
  </w:style>
  <w:style w:type="character" w:styleId="1319" w:customStyle="1">
    <w:name w:val="WW8Num16z0"/>
    <w:pPr>
      <w:pBdr/>
      <w:spacing/>
      <w:ind/>
    </w:pPr>
    <w:rPr>
      <w:rFonts w:hint="default" w:ascii="Symbol" w:hAnsi="Symbol" w:cs="Symbol"/>
      <w:sz w:val="20"/>
    </w:rPr>
  </w:style>
  <w:style w:type="character" w:styleId="1320" w:customStyle="1">
    <w:name w:val="WW8Num16z1"/>
    <w:pPr>
      <w:pBdr/>
      <w:spacing/>
      <w:ind/>
    </w:pPr>
    <w:rPr>
      <w:rFonts w:hint="default" w:ascii="Courier New" w:hAnsi="Courier New" w:cs="Courier New"/>
      <w:sz w:val="20"/>
    </w:rPr>
  </w:style>
  <w:style w:type="character" w:styleId="1321" w:customStyle="1">
    <w:name w:val="WW8Num16z2"/>
    <w:pPr>
      <w:pBdr/>
      <w:spacing/>
      <w:ind/>
    </w:pPr>
    <w:rPr>
      <w:rFonts w:hint="default" w:ascii="Wingdings" w:hAnsi="Wingdings" w:cs="Wingdings"/>
      <w:sz w:val="20"/>
    </w:rPr>
  </w:style>
  <w:style w:type="character" w:styleId="1322" w:customStyle="1">
    <w:name w:val="WW8Num18z0"/>
    <w:pPr>
      <w:pBdr/>
      <w:spacing/>
      <w:ind/>
    </w:pPr>
    <w:rPr>
      <w:rFonts w:hint="default" w:cs="Times New Roman"/>
    </w:rPr>
  </w:style>
  <w:style w:type="character" w:styleId="1323" w:customStyle="1">
    <w:name w:val="WW8Num18z1"/>
    <w:pPr>
      <w:pBdr/>
      <w:spacing/>
      <w:ind/>
    </w:pPr>
    <w:rPr>
      <w:rFonts w:hint="default" w:cs="Times New Roman"/>
      <w:b/>
    </w:rPr>
  </w:style>
  <w:style w:type="character" w:styleId="1324" w:customStyle="1">
    <w:name w:val="WW8Num19z0"/>
    <w:pPr>
      <w:pBdr/>
      <w:spacing/>
      <w:ind/>
    </w:pPr>
    <w:rPr>
      <w:rFonts w:hint="default" w:ascii="Symbol" w:hAnsi="Symbol" w:cs="Symbol"/>
      <w:sz w:val="20"/>
    </w:rPr>
  </w:style>
  <w:style w:type="character" w:styleId="1325" w:customStyle="1">
    <w:name w:val="WW8Num19z1"/>
    <w:pPr>
      <w:pBdr/>
      <w:spacing/>
      <w:ind/>
    </w:pPr>
    <w:rPr>
      <w:rFonts w:hint="default" w:ascii="Courier New" w:hAnsi="Courier New" w:cs="Courier New"/>
      <w:sz w:val="20"/>
    </w:rPr>
  </w:style>
  <w:style w:type="character" w:styleId="1326" w:customStyle="1">
    <w:name w:val="WW8Num19z2"/>
    <w:pPr>
      <w:pBdr/>
      <w:spacing/>
      <w:ind/>
    </w:pPr>
    <w:rPr>
      <w:rFonts w:hint="default" w:ascii="Wingdings" w:hAnsi="Wingdings" w:cs="Wingdings"/>
      <w:sz w:val="20"/>
    </w:rPr>
  </w:style>
  <w:style w:type="character" w:styleId="1327" w:customStyle="1">
    <w:name w:val="WW8Num20z0"/>
    <w:pPr>
      <w:pBdr/>
      <w:spacing/>
      <w:ind/>
    </w:pPr>
    <w:rPr>
      <w:rFonts w:hint="default" w:ascii="Symbol" w:hAnsi="Symbol" w:cs="Symbol"/>
      <w:sz w:val="20"/>
    </w:rPr>
  </w:style>
  <w:style w:type="character" w:styleId="1328" w:customStyle="1">
    <w:name w:val="WW8Num20z1"/>
    <w:pPr>
      <w:pBdr/>
      <w:spacing/>
      <w:ind/>
    </w:pPr>
    <w:rPr>
      <w:rFonts w:hint="default" w:ascii="Courier New" w:hAnsi="Courier New" w:cs="Courier New"/>
      <w:sz w:val="20"/>
    </w:rPr>
  </w:style>
  <w:style w:type="character" w:styleId="1329" w:customStyle="1">
    <w:name w:val="WW8Num20z2"/>
    <w:pPr>
      <w:pBdr/>
      <w:spacing/>
      <w:ind/>
    </w:pPr>
    <w:rPr>
      <w:rFonts w:hint="default" w:ascii="Wingdings" w:hAnsi="Wingdings" w:cs="Wingdings"/>
      <w:sz w:val="20"/>
    </w:rPr>
  </w:style>
  <w:style w:type="character" w:styleId="1330" w:customStyle="1">
    <w:name w:val="WW8Num21z0"/>
    <w:pPr>
      <w:pBdr/>
      <w:spacing/>
      <w:ind/>
    </w:pPr>
    <w:rPr>
      <w:rFonts w:hint="default" w:ascii="Wingdings" w:hAnsi="Wingdings" w:cs="Wingdings"/>
    </w:rPr>
  </w:style>
  <w:style w:type="character" w:styleId="1331" w:customStyle="1">
    <w:name w:val="WW8Num21z1"/>
    <w:pPr>
      <w:pBdr/>
      <w:spacing/>
      <w:ind/>
    </w:pPr>
    <w:rPr>
      <w:rFonts w:hint="default" w:ascii="Courier New" w:hAnsi="Courier New" w:cs="Courier New"/>
    </w:rPr>
  </w:style>
  <w:style w:type="character" w:styleId="1332" w:customStyle="1">
    <w:name w:val="WW8Num21z3"/>
    <w:pPr>
      <w:pBdr/>
      <w:spacing/>
      <w:ind/>
    </w:pPr>
    <w:rPr>
      <w:rFonts w:hint="default" w:ascii="Symbol" w:hAnsi="Symbol" w:cs="Symbol"/>
    </w:rPr>
  </w:style>
  <w:style w:type="character" w:styleId="1333" w:customStyle="1">
    <w:name w:val="WW8Num22z0"/>
    <w:pPr>
      <w:pBdr/>
      <w:spacing/>
      <w:ind/>
    </w:pPr>
    <w:rPr>
      <w:rFonts w:hint="default"/>
      <w:color w:val="000000"/>
    </w:rPr>
  </w:style>
  <w:style w:type="character" w:styleId="1334" w:customStyle="1">
    <w:name w:val="WW8Num23z0"/>
    <w:pPr>
      <w:pBdr/>
      <w:spacing/>
      <w:ind/>
    </w:pPr>
    <w:rPr>
      <w:rFonts w:hint="default" w:ascii="Symbol" w:hAnsi="Symbol" w:cs="Symbol"/>
      <w:sz w:val="20"/>
    </w:rPr>
  </w:style>
  <w:style w:type="character" w:styleId="1335" w:customStyle="1">
    <w:name w:val="WW8Num23z1"/>
    <w:pPr>
      <w:pBdr/>
      <w:spacing/>
      <w:ind/>
    </w:pPr>
    <w:rPr>
      <w:rFonts w:hint="default" w:ascii="Courier New" w:hAnsi="Courier New" w:cs="Courier New"/>
      <w:sz w:val="20"/>
    </w:rPr>
  </w:style>
  <w:style w:type="character" w:styleId="1336" w:customStyle="1">
    <w:name w:val="WW8Num23z2"/>
    <w:pPr>
      <w:pBdr/>
      <w:spacing/>
      <w:ind/>
    </w:pPr>
    <w:rPr>
      <w:rFonts w:hint="default" w:ascii="Wingdings" w:hAnsi="Wingdings" w:cs="Wingdings"/>
      <w:sz w:val="20"/>
    </w:rPr>
  </w:style>
  <w:style w:type="character" w:styleId="1337" w:customStyle="1">
    <w:name w:val="Fonte parág. padrão3"/>
    <w:pPr>
      <w:pBdr/>
      <w:spacing/>
      <w:ind/>
    </w:pPr>
  </w:style>
  <w:style w:type="character" w:styleId="1338" w:customStyle="1">
    <w:name w:val="WW8Num1z1"/>
    <w:pPr>
      <w:pBdr/>
      <w:spacing/>
      <w:ind/>
    </w:pPr>
    <w:rPr>
      <w:rFonts w:hint="default"/>
      <w:b/>
      <w:bCs/>
    </w:rPr>
  </w:style>
  <w:style w:type="character" w:styleId="1339" w:customStyle="1">
    <w:name w:val="WW8Num1z2"/>
    <w:pPr>
      <w:pBdr/>
      <w:spacing/>
      <w:ind/>
    </w:pPr>
    <w:rPr>
      <w:rFonts w:hint="default"/>
    </w:rPr>
  </w:style>
  <w:style w:type="character" w:styleId="1340" w:customStyle="1">
    <w:name w:val="WW8Num3z2"/>
    <w:pPr>
      <w:pBdr/>
      <w:spacing/>
      <w:ind/>
    </w:pPr>
    <w:rPr>
      <w:b/>
    </w:rPr>
  </w:style>
  <w:style w:type="character" w:styleId="1341" w:customStyle="1">
    <w:name w:val="WW8Num4z1"/>
    <w:pPr>
      <w:pBdr/>
      <w:spacing/>
      <w:ind/>
    </w:pPr>
    <w:rPr>
      <w:rFonts w:cs="Times New Roman"/>
    </w:rPr>
  </w:style>
  <w:style w:type="character" w:styleId="1342" w:customStyle="1">
    <w:name w:val="WW8Num9z0"/>
    <w:pPr>
      <w:pBdr/>
      <w:spacing/>
      <w:ind/>
    </w:pPr>
    <w:rPr>
      <w:rFonts w:hint="default"/>
      <w:b/>
      <w:bCs/>
    </w:rPr>
  </w:style>
  <w:style w:type="character" w:styleId="1343" w:customStyle="1">
    <w:name w:val="WW8Num9z2"/>
    <w:pPr>
      <w:pBdr/>
      <w:spacing/>
      <w:ind/>
    </w:pPr>
    <w:rPr>
      <w:rFonts w:hint="default"/>
    </w:rPr>
  </w:style>
  <w:style w:type="character" w:styleId="1344" w:customStyle="1">
    <w:name w:val="WW8Num10z0"/>
    <w:pPr>
      <w:pBdr/>
      <w:spacing/>
      <w:ind/>
    </w:pPr>
    <w:rPr>
      <w:rFonts w:hint="default" w:cs="Times New Roman"/>
      <w:b/>
    </w:rPr>
  </w:style>
  <w:style w:type="character" w:styleId="1345" w:customStyle="1">
    <w:name w:val="WW8Num10z1"/>
    <w:pPr>
      <w:pBdr/>
      <w:spacing/>
      <w:ind/>
    </w:pPr>
    <w:rPr>
      <w:rFonts w:cs="Times New Roman"/>
    </w:rPr>
  </w:style>
  <w:style w:type="character" w:styleId="1346" w:customStyle="1">
    <w:name w:val="WW8Num11z0"/>
    <w:pPr>
      <w:pBdr/>
      <w:spacing/>
      <w:ind/>
    </w:pPr>
    <w:rPr>
      <w:rFonts w:hint="default"/>
    </w:rPr>
  </w:style>
  <w:style w:type="character" w:styleId="1347" w:customStyle="1">
    <w:name w:val="WW8Num12z5"/>
    <w:pPr>
      <w:pBdr/>
      <w:spacing/>
      <w:ind/>
    </w:pPr>
    <w:rPr>
      <w:rFonts w:hint="default"/>
    </w:rPr>
  </w:style>
  <w:style w:type="character" w:styleId="1348" w:customStyle="1">
    <w:name w:val="WW8Num13z0"/>
    <w:pPr>
      <w:pBdr/>
      <w:spacing/>
      <w:ind/>
    </w:pPr>
    <w:rPr>
      <w:rFonts w:hint="default"/>
    </w:rPr>
  </w:style>
  <w:style w:type="character" w:styleId="1349" w:customStyle="1">
    <w:name w:val="WW8Num17z0"/>
    <w:pPr>
      <w:pBdr/>
      <w:spacing/>
      <w:ind/>
    </w:pPr>
    <w:rPr>
      <w:rFonts w:hint="default" w:cs="Times New Roman"/>
      <w:b/>
    </w:rPr>
  </w:style>
  <w:style w:type="character" w:styleId="1350" w:customStyle="1">
    <w:name w:val="WW8Num17z1"/>
    <w:pPr>
      <w:pBdr/>
      <w:spacing/>
      <w:ind/>
    </w:pPr>
    <w:rPr>
      <w:rFonts w:cs="Times New Roman"/>
    </w:rPr>
  </w:style>
  <w:style w:type="character" w:styleId="1351" w:customStyle="1">
    <w:name w:val="WW8Num22z3"/>
    <w:pPr>
      <w:pBdr/>
      <w:spacing/>
      <w:ind/>
    </w:pPr>
    <w:rPr>
      <w:rFonts w:hint="default" w:cs="Times New Roman"/>
      <w:b/>
    </w:rPr>
  </w:style>
  <w:style w:type="character" w:styleId="1352" w:customStyle="1">
    <w:name w:val="Fonte parág. padrão2"/>
    <w:pPr>
      <w:pBdr/>
      <w:spacing/>
      <w:ind/>
    </w:pPr>
  </w:style>
  <w:style w:type="character" w:styleId="1353" w:customStyle="1">
    <w:name w:val="Ref. de comentário1"/>
    <w:pPr>
      <w:pBdr/>
      <w:spacing/>
      <w:ind/>
    </w:pPr>
    <w:rPr>
      <w:sz w:val="16"/>
      <w:szCs w:val="16"/>
    </w:rPr>
  </w:style>
  <w:style w:type="character" w:styleId="1354">
    <w:name w:val="FollowedHyperlink"/>
    <w:uiPriority w:val="99"/>
    <w:pPr>
      <w:pBdr/>
      <w:spacing/>
      <w:ind/>
    </w:pPr>
    <w:rPr>
      <w:color w:val="954f72"/>
      <w:u w:val="single"/>
    </w:rPr>
  </w:style>
  <w:style w:type="character" w:styleId="1355">
    <w:name w:val="Intense Emphasis"/>
    <w:qFormat/>
    <w:pPr>
      <w:pBdr/>
      <w:spacing/>
      <w:ind/>
    </w:pPr>
    <w:rPr>
      <w:rFonts w:cs="Times New Roman"/>
      <w:b/>
      <w:bCs/>
      <w:i/>
      <w:iCs/>
      <w:color w:val="5b9bd5"/>
    </w:rPr>
  </w:style>
  <w:style w:type="character" w:styleId="1356" w:customStyle="1">
    <w:name w:val="WW-Link da Internet"/>
    <w:pPr>
      <w:pBdr/>
      <w:spacing/>
      <w:ind/>
    </w:pPr>
    <w:rPr>
      <w:color w:val="0563c1"/>
      <w:u w:val="single"/>
    </w:rPr>
  </w:style>
  <w:style w:type="character" w:styleId="1357" w:customStyle="1">
    <w:name w:val="Corpo de texto 3 Char1"/>
    <w:pPr>
      <w:pBdr/>
      <w:spacing/>
      <w:ind/>
    </w:pPr>
    <w:rPr>
      <w:sz w:val="16"/>
      <w:szCs w:val="16"/>
      <w:lang w:eastAsia="zh-CN"/>
    </w:rPr>
  </w:style>
  <w:style w:type="paragraph" w:styleId="1358" w:customStyle="1">
    <w:name w:val="Título2"/>
    <w:basedOn w:val="881"/>
    <w:next w:val="1030"/>
    <w:pPr>
      <w:keepNext w:val="true"/>
      <w:pBdr/>
      <w:spacing w:after="120" w:before="240"/>
      <w:ind/>
    </w:pPr>
    <w:rPr>
      <w:rFonts w:ascii="Liberation Sans" w:hAnsi="Liberation Sans" w:eastAsia="Microsoft YaHei" w:cs="Arial"/>
      <w:sz w:val="28"/>
      <w:szCs w:val="28"/>
      <w:lang w:eastAsia="zh-CN"/>
    </w:rPr>
  </w:style>
  <w:style w:type="paragraph" w:styleId="1359" w:customStyle="1">
    <w:name w:val="Título1"/>
    <w:basedOn w:val="881"/>
    <w:next w:val="881"/>
    <w:pPr>
      <w:pBdr/>
      <w:spacing w:after="60" w:before="240"/>
      <w:ind/>
      <w:jc w:val="both"/>
      <w:outlineLvl w:val="0"/>
    </w:pPr>
    <w:rPr>
      <w:rFonts w:ascii="Arial" w:hAnsi="Arial" w:eastAsia="SimSun" w:cs="Arial"/>
      <w:b/>
      <w:bCs/>
      <w:sz w:val="22"/>
      <w:szCs w:val="32"/>
      <w:lang w:eastAsia="zh-CN"/>
    </w:rPr>
  </w:style>
  <w:style w:type="paragraph" w:styleId="1360" w:customStyle="1">
    <w:name w:val="Corpo de texto 31"/>
    <w:basedOn w:val="881"/>
    <w:pPr>
      <w:widowControl w:val="false"/>
      <w:pBdr/>
      <w:spacing w:after="120"/>
      <w:ind/>
    </w:pPr>
    <w:rPr>
      <w:sz w:val="16"/>
      <w:szCs w:val="16"/>
      <w:lang w:val="en-US" w:eastAsia="zh-CN"/>
    </w:rPr>
  </w:style>
  <w:style w:type="paragraph" w:styleId="1361" w:customStyle="1">
    <w:name w:val="Recuo de corpo de texto 32"/>
    <w:basedOn w:val="881"/>
    <w:pPr>
      <w:widowControl w:val="false"/>
      <w:pBdr/>
      <w:spacing/>
      <w:ind w:left="1418"/>
      <w:jc w:val="both"/>
    </w:pPr>
    <w:rPr>
      <w:rFonts w:ascii="Arial" w:hAnsi="Arial" w:cs="Arial"/>
      <w:sz w:val="24"/>
      <w:lang w:val="en-US" w:eastAsia="zh-CN"/>
    </w:rPr>
  </w:style>
  <w:style w:type="paragraph" w:styleId="1362" w:customStyle="1">
    <w:name w:val="Recuo de corpo de texto 22"/>
    <w:basedOn w:val="881"/>
    <w:pPr>
      <w:pBdr/>
      <w:spacing w:after="120" w:line="480" w:lineRule="auto"/>
      <w:ind w:left="283"/>
    </w:pPr>
    <w:rPr>
      <w:lang w:eastAsia="zh-CN"/>
    </w:rPr>
  </w:style>
  <w:style w:type="paragraph" w:styleId="1363" w:customStyle="1">
    <w:name w:val="Corpo de texto 21"/>
    <w:basedOn w:val="881"/>
    <w:pPr>
      <w:pBdr/>
      <w:spacing w:after="120" w:line="480" w:lineRule="auto"/>
      <w:ind/>
    </w:pPr>
    <w:rPr>
      <w:lang w:eastAsia="zh-CN"/>
    </w:rPr>
  </w:style>
  <w:style w:type="paragraph" w:styleId="1364" w:customStyle="1">
    <w:name w:val="Texto sem Formatação1"/>
    <w:basedOn w:val="881"/>
    <w:pPr>
      <w:pBdr/>
      <w:spacing/>
      <w:ind/>
    </w:pPr>
    <w:rPr>
      <w:rFonts w:ascii="Courier New" w:hAnsi="Courier New" w:cs="Courier New"/>
      <w:lang w:eastAsia="zh-CN"/>
    </w:rPr>
  </w:style>
  <w:style w:type="paragraph" w:styleId="1365">
    <w:name w:val="TOC Heading"/>
    <w:basedOn w:val="882"/>
    <w:next w:val="881"/>
    <w:qFormat/>
    <w:pPr>
      <w:keepLines w:val="true"/>
      <w:pBdr/>
      <w:spacing w:after="0" w:line="252" w:lineRule="auto"/>
      <w:ind/>
      <w:outlineLvl w:val="9"/>
    </w:pPr>
    <w:rPr>
      <w:rFonts w:ascii="Calibri" w:hAnsi="Calibri" w:eastAsia="MS Gothic" w:cs="Times New Roman"/>
      <w:b w:val="0"/>
      <w:bCs w:val="0"/>
      <w:color w:val="365f91"/>
      <w:lang w:val="pt-BR" w:eastAsia="zh-CN"/>
    </w:rPr>
  </w:style>
  <w:style w:type="paragraph" w:styleId="1366" w:customStyle="1">
    <w:name w:val="Recuo de corpo de texto 32"/>
    <w:basedOn w:val="881"/>
    <w:pPr>
      <w:widowControl w:val="false"/>
      <w:pBdr/>
      <w:spacing/>
      <w:ind w:left="1418"/>
      <w:jc w:val="both"/>
    </w:pPr>
    <w:rPr>
      <w:rFonts w:ascii="Arial" w:hAnsi="Arial" w:eastAsia="SimSun" w:cs="Arial"/>
      <w:sz w:val="24"/>
      <w:lang w:val="en-US" w:eastAsia="zh-CN"/>
    </w:rPr>
  </w:style>
  <w:style w:type="paragraph" w:styleId="1367" w:customStyle="1">
    <w:name w:val="Table Contents"/>
    <w:basedOn w:val="1080"/>
    <w:pPr>
      <w:suppressLineNumbers w:val="true"/>
      <w:pBdr/>
      <w:spacing/>
      <w:ind/>
    </w:pPr>
    <w:rPr>
      <w:rFonts w:eastAsia="NSimSun" w:cs="Arial"/>
      <w:lang w:eastAsia="zh-CN"/>
    </w:rPr>
  </w:style>
  <w:style w:type="paragraph" w:styleId="1368" w:customStyle="1">
    <w:name w:val="Standard (user)"/>
    <w:pPr>
      <w:pBdr/>
      <w:spacing/>
      <w:ind/>
    </w:pPr>
    <w:rPr>
      <w:rFonts w:ascii="Liberation Serif" w:hAnsi="Liberation Serif" w:eastAsia="SimSun" w:cs="Liberation Serif"/>
      <w:sz w:val="24"/>
      <w:szCs w:val="24"/>
      <w:lang w:eastAsia="zh-CN" w:bidi="hi-IN"/>
    </w:rPr>
  </w:style>
  <w:style w:type="paragraph" w:styleId="1369" w:customStyle="1">
    <w:name w:val="Corpo de texto 32"/>
    <w:basedOn w:val="881"/>
    <w:pPr>
      <w:widowControl w:val="false"/>
      <w:pBdr/>
      <w:spacing w:after="120"/>
      <w:ind/>
    </w:pPr>
    <w:rPr>
      <w:sz w:val="16"/>
      <w:szCs w:val="16"/>
      <w:lang w:val="en-US" w:eastAsia="zh-CN"/>
    </w:rPr>
  </w:style>
  <w:style w:type="character" w:styleId="1370">
    <w:name w:val="Unresolved Mention"/>
    <w:basedOn w:val="891"/>
    <w:uiPriority w:val="99"/>
    <w:semiHidden/>
    <w:unhideWhenUsed/>
    <w:pPr>
      <w:pBdr/>
      <w:spacing/>
      <w:ind/>
    </w:pPr>
    <w:rPr>
      <w:color w:val="605e5c"/>
      <w:shd w:val="clear" w:color="auto" w:fill="e1dfdd"/>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 Id="rId12" Type="http://schemas.openxmlformats.org/officeDocument/2006/relationships/hyperlink" Target="http://www.bllcompras.org.br/" TargetMode="External"/><Relationship Id="rId13" Type="http://schemas.openxmlformats.org/officeDocument/2006/relationships/hyperlink" Target="mailto:pmrroo@hotmail.com" TargetMode="External"/><Relationship Id="rId14" Type="http://schemas.openxmlformats.org/officeDocument/2006/relationships/hyperlink" Target="http://www.bllcompras.org.br/" TargetMode="External"/><Relationship Id="rId15"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cp/lcp123.htm" TargetMode="External"/><Relationship Id="rId17" Type="http://schemas.openxmlformats.org/officeDocument/2006/relationships/hyperlink" Target="http://www.bllcompras.org.br/" TargetMode="External"/><Relationship Id="rId18"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20" Type="http://schemas.openxmlformats.org/officeDocument/2006/relationships/hyperlink" Target="mailto:pmrroo@hotmail.com" TargetMode="External"/><Relationship Id="rId21" Type="http://schemas.openxmlformats.org/officeDocument/2006/relationships/hyperlink" Target="http://www.tst.jus.br/" TargetMode="External"/><Relationship Id="rId22"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constituicao/constituicaocompilado.htm" TargetMode="External"/><Relationship Id="rId24" Type="http://schemas.openxmlformats.org/officeDocument/2006/relationships/hyperlink" Target="https://www.planalto.gov.br/ccivil_03/leis/lcp/lcp123.htm" TargetMode="External"/><Relationship Id="rId25" Type="http://schemas.openxmlformats.org/officeDocument/2006/relationships/hyperlink" Target="https://www.planalto.gov.br/ccivil_03/leis/lcp/lcp123.htm" TargetMode="External"/><Relationship Id="rId26"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28" Type="http://schemas.openxmlformats.org/officeDocument/2006/relationships/hyperlink" Target="http://www.cnj.jus.br/improbidade_adm/consultar_requerido.php" TargetMode="External"/><Relationship Id="rId29" Type="http://schemas.openxmlformats.org/officeDocument/2006/relationships/hyperlink" Target="http://www.portaldatransparencia.gov.br/ceis" TargetMode="External"/><Relationship Id="rId30" Type="http://schemas.openxmlformats.org/officeDocument/2006/relationships/hyperlink" Target="https://certidoes-apf.apps.tcu.gov.br/" TargetMode="External"/><Relationship Id="rId31" Type="http://schemas.openxmlformats.org/officeDocument/2006/relationships/hyperlink" Target="https://jurisdicionado.tce.mt.gov.br/conteudo/index/sid/477" TargetMode="External"/><Relationship Id="rId32"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http://www.planalto.gov.br/ccivil_03/_ato2019-2022/2021/lei/L14133.htm" TargetMode="External"/><Relationship Id="rId34" Type="http://schemas.openxmlformats.org/officeDocument/2006/relationships/hyperlink" Target="mailto:bllcompras.com" TargetMode="External"/><Relationship Id="rId35" Type="http://schemas.openxmlformats.org/officeDocument/2006/relationships/hyperlink" Target="http://bllcompras.com/" TargetMode="External"/><Relationship Id="rId36" Type="http://schemas.openxmlformats.org/officeDocument/2006/relationships/hyperlink" Target="http://www.rondonopolis.mt.gov.br/" TargetMode="External"/><Relationship Id="rId37" Type="http://schemas.openxmlformats.org/officeDocument/2006/relationships/hyperlink" Target="https://radardeprecos.tce.mt.gov.br/extensions/%20radarcompraspublicas/panel.html" TargetMode="External"/><Relationship Id="rId38" Type="http://schemas.openxmlformats.org/officeDocument/2006/relationships/hyperlink" Target="https://www.planalto.gov.br/ccivil_03/constituicao/constituicaocompilado.htm" TargetMode="External"/><Relationship Id="rId39" Type="http://schemas.openxmlformats.org/officeDocument/2006/relationships/hyperlink" Target="https://www.planalto.gov.br/ccivil_03/constituicao/constituicaocompilado.htm" TargetMode="External"/><Relationship Id="rId40" Type="http://schemas.openxmlformats.org/officeDocument/2006/relationships/hyperlink" Target="https://www.planalto.gov.br/ccivil_03/leis/lcp/lcp123.htm" TargetMode="External"/><Relationship Id="rId41" Type="http://schemas.openxmlformats.org/officeDocument/2006/relationships/hyperlink" Target="https://www.planalto.gov.br/ccivil_03/leis/lcp/lcp123.htm" TargetMode="External"/><Relationship Id="rId42"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gradFill>
        <a:gradFill>
          <a:gsLst>
            <a:gs pos="0">
              <a:schemeClr val="phClr">
                <a:shade val="51000"/>
              </a:schemeClr>
            </a:gs>
            <a:gs pos="80000">
              <a:schemeClr val="phClr">
                <a:shade val="93000"/>
              </a:schemeClr>
            </a:gs>
            <a:gs pos="100000">
              <a:schemeClr val="phClr">
                <a:shade val="94000"/>
              </a:schemeClr>
            </a:gs>
          </a:gsLst>
          <a:lin ang="16200000" scaled="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gradFill>
        <a:gradFill>
          <a:gsLst>
            <a:gs pos="0">
              <a:schemeClr val="phClr">
                <a:tint val="80000"/>
              </a:schemeClr>
            </a:gs>
            <a:gs pos="100000">
              <a:schemeClr val="phClr">
                <a:shade val="3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g9hsHzos7n27iRBPt/qm9rF6HRBw==">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Application>ONLYOFFICE/9.2.1.43</Application>
  <DocSecurity>0</DocSecurity>
  <ScaleCrop>0</ScaleCrop>
  <HeadingPairs>
    <vt:vector size="0" baseType="variant"/>
  </HeadingPairs>
  <TitlesOfParts>
    <vt:vector size="0" baseType="lpstr"/>
  </TitlesOfParts>
  <Company>Hewlett-Packard Company</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FILIPE SANTOS CIRIACO</dc:creator>
  <dc:description/>
  <dc:language>pt-BR</dc:language>
  <cp:revision>14</cp:revision>
  <dcterms:created xsi:type="dcterms:W3CDTF">2026-02-12T12:52:00Z</dcterms:created>
  <dcterms:modified xsi:type="dcterms:W3CDTF">2026-04-08T12:12:50Z</dcterms:modified>
</cp:coreProperties>
</file>